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BDD475" w14:textId="570354C0" w:rsidR="0000205E" w:rsidRDefault="0000205E" w:rsidP="005D529F"/>
    <w:p w14:paraId="35D733A0" w14:textId="77777777" w:rsidR="00A3100D" w:rsidRDefault="00A3100D" w:rsidP="005D529F"/>
    <w:p w14:paraId="0B8C299F" w14:textId="77777777" w:rsidR="0000205E" w:rsidRDefault="0000205E" w:rsidP="005D529F"/>
    <w:p w14:paraId="080C16F0" w14:textId="77777777" w:rsidR="0000205E" w:rsidRDefault="0000205E" w:rsidP="005D529F"/>
    <w:p w14:paraId="276100A2" w14:textId="77777777" w:rsidR="00054750" w:rsidRPr="005D529F" w:rsidRDefault="00054750" w:rsidP="005D529F"/>
    <w:p w14:paraId="4F621EAB" w14:textId="4EB9589D" w:rsidR="00054750" w:rsidRPr="00481581" w:rsidRDefault="00BD4364" w:rsidP="00B93F79">
      <w:pPr>
        <w:pStyle w:val="Ttulo4"/>
        <w:jc w:val="center"/>
        <w:rPr>
          <w:color w:val="365F91" w:themeColor="accent1" w:themeShade="BF"/>
        </w:rPr>
      </w:pPr>
      <w:bookmarkStart w:id="0" w:name="_GoBack"/>
      <w:r w:rsidRPr="00481581">
        <w:rPr>
          <w:color w:val="365F91" w:themeColor="accent1" w:themeShade="BF"/>
        </w:rPr>
        <w:t>EXCLUI</w:t>
      </w:r>
      <w:r w:rsidR="00054750" w:rsidRPr="00481581">
        <w:rPr>
          <w:color w:val="365F91" w:themeColor="accent1" w:themeShade="BF"/>
        </w:rPr>
        <w:t>DOS DE LA FELICIDAD</w:t>
      </w:r>
    </w:p>
    <w:p w14:paraId="5AC02AF7" w14:textId="378951AF" w:rsidR="0000205E" w:rsidRPr="00DB398C" w:rsidRDefault="00054750" w:rsidP="00B93F79">
      <w:pPr>
        <w:pStyle w:val="Subttulo"/>
        <w:jc w:val="center"/>
        <w:rPr>
          <w:color w:val="548DD4" w:themeColor="text2" w:themeTint="99"/>
          <w:szCs w:val="22"/>
        </w:rPr>
      </w:pPr>
      <w:r w:rsidRPr="00DB398C">
        <w:rPr>
          <w:color w:val="548DD4" w:themeColor="text2" w:themeTint="99"/>
          <w:szCs w:val="22"/>
        </w:rPr>
        <w:t>Las desigualdades de bienestar emocional en España</w:t>
      </w:r>
      <w:r w:rsidR="00BD4364" w:rsidRPr="00DB398C">
        <w:rPr>
          <w:color w:val="548DD4" w:themeColor="text2" w:themeTint="99"/>
          <w:szCs w:val="22"/>
        </w:rPr>
        <w:t xml:space="preserve"> y Europa</w:t>
      </w:r>
    </w:p>
    <w:p w14:paraId="193D3441" w14:textId="77777777" w:rsidR="0000205E" w:rsidRDefault="0000205E" w:rsidP="00BD4364">
      <w:pPr>
        <w:pStyle w:val="Subttulo"/>
      </w:pPr>
    </w:p>
    <w:p w14:paraId="5C0A5204" w14:textId="77777777" w:rsidR="0000205E" w:rsidRDefault="0000205E" w:rsidP="005D529F"/>
    <w:p w14:paraId="6838465D" w14:textId="77777777" w:rsidR="0077038D" w:rsidRDefault="0077038D" w:rsidP="005D529F"/>
    <w:p w14:paraId="51F043B0" w14:textId="77777777" w:rsidR="0077038D" w:rsidRDefault="0077038D" w:rsidP="005D529F"/>
    <w:p w14:paraId="096191FB" w14:textId="77777777" w:rsidR="0077038D" w:rsidRDefault="0077038D" w:rsidP="005D529F"/>
    <w:p w14:paraId="7F29F1E4" w14:textId="77777777" w:rsidR="0077038D" w:rsidRDefault="0077038D" w:rsidP="005D529F"/>
    <w:p w14:paraId="0731C260" w14:textId="77777777" w:rsidR="0077038D" w:rsidRDefault="0077038D" w:rsidP="005D529F"/>
    <w:p w14:paraId="1AFA8ACF" w14:textId="77777777" w:rsidR="0077038D" w:rsidRDefault="0077038D" w:rsidP="005D529F"/>
    <w:p w14:paraId="341DD8B8" w14:textId="77777777" w:rsidR="0000205E" w:rsidRDefault="0000205E" w:rsidP="005D529F"/>
    <w:p w14:paraId="07E2163E" w14:textId="2C00FF3F" w:rsidR="00054750" w:rsidRPr="00481581" w:rsidRDefault="00BD4364" w:rsidP="0077038D">
      <w:pPr>
        <w:pStyle w:val="Subttulo"/>
        <w:jc w:val="center"/>
        <w:rPr>
          <w:color w:val="365F91" w:themeColor="accent1" w:themeShade="BF"/>
        </w:rPr>
      </w:pPr>
      <w:r w:rsidRPr="00481581">
        <w:rPr>
          <w:color w:val="365F91" w:themeColor="accent1" w:themeShade="BF"/>
        </w:rPr>
        <w:t>Eduardo Bericat</w:t>
      </w:r>
    </w:p>
    <w:bookmarkEnd w:id="0"/>
    <w:p w14:paraId="7E6F47B9" w14:textId="77777777" w:rsidR="00DC0C9C" w:rsidRDefault="00DC0C9C" w:rsidP="005D529F"/>
    <w:p w14:paraId="718643B4" w14:textId="77777777" w:rsidR="00B11C40" w:rsidRDefault="00B11C40" w:rsidP="005D529F"/>
    <w:p w14:paraId="46E055FD" w14:textId="77777777" w:rsidR="00B11C40" w:rsidRDefault="00B11C40" w:rsidP="005D529F"/>
    <w:p w14:paraId="274F9FA8" w14:textId="77777777" w:rsidR="00B11C40" w:rsidRDefault="00B11C40" w:rsidP="005D529F"/>
    <w:p w14:paraId="1EB314A5" w14:textId="77777777" w:rsidR="00B11C40" w:rsidRDefault="00B11C40" w:rsidP="005D529F"/>
    <w:p w14:paraId="572BC220" w14:textId="77777777" w:rsidR="00B11C40" w:rsidRDefault="00B11C40" w:rsidP="005D529F"/>
    <w:p w14:paraId="44C32AB4" w14:textId="77777777" w:rsidR="00B11C40" w:rsidRDefault="00B11C40" w:rsidP="005D529F"/>
    <w:p w14:paraId="5BE733E6" w14:textId="77777777" w:rsidR="005D79E7" w:rsidRDefault="005D79E7" w:rsidP="005D529F">
      <w:pPr>
        <w:sectPr w:rsidR="005D79E7" w:rsidSect="009A7916">
          <w:headerReference w:type="even" r:id="rId8"/>
          <w:headerReference w:type="default" r:id="rId9"/>
          <w:footerReference w:type="even" r:id="rId10"/>
          <w:footerReference w:type="default" r:id="rId11"/>
          <w:pgSz w:w="11900" w:h="16840"/>
          <w:pgMar w:top="1985" w:right="1814" w:bottom="1758" w:left="1814" w:header="709" w:footer="709" w:gutter="0"/>
          <w:pgNumType w:start="5"/>
          <w:cols w:space="708"/>
          <w:titlePg/>
          <w:docGrid w:linePitch="360"/>
        </w:sectPr>
      </w:pPr>
    </w:p>
    <w:p w14:paraId="6031C1DA" w14:textId="7F4A2E82" w:rsidR="0000205E" w:rsidRDefault="0000205E" w:rsidP="005D529F"/>
    <w:p w14:paraId="6FE6B60A" w14:textId="77777777" w:rsidR="0000205E" w:rsidRDefault="0000205E" w:rsidP="005D529F"/>
    <w:p w14:paraId="00E2826A" w14:textId="77777777" w:rsidR="0000205E" w:rsidRDefault="0000205E" w:rsidP="005D529F"/>
    <w:p w14:paraId="0CB1DBD3" w14:textId="77777777" w:rsidR="0000205E" w:rsidRDefault="0000205E" w:rsidP="005D529F"/>
    <w:p w14:paraId="1E4AF3CA" w14:textId="77777777" w:rsidR="0000205E" w:rsidRDefault="0000205E" w:rsidP="005D529F"/>
    <w:p w14:paraId="451443A4" w14:textId="77777777" w:rsidR="006010FD" w:rsidRPr="005D529F" w:rsidRDefault="006010FD" w:rsidP="00DC0C9C">
      <w:pPr>
        <w:jc w:val="right"/>
      </w:pPr>
    </w:p>
    <w:p w14:paraId="47A9E7B5" w14:textId="77777777" w:rsidR="0000205E" w:rsidRPr="00F12DA0" w:rsidRDefault="006010FD" w:rsidP="00D65569">
      <w:pPr>
        <w:pStyle w:val="Cita"/>
        <w:ind w:left="1134"/>
        <w:jc w:val="right"/>
        <w:rPr>
          <w:color w:val="1F497D" w:themeColor="text2"/>
        </w:rPr>
      </w:pPr>
      <w:r w:rsidRPr="00F12DA0">
        <w:rPr>
          <w:color w:val="1F497D" w:themeColor="text2"/>
        </w:rPr>
        <w:t>Pues aunque sea el mismo el bien del individuo y el de la ciudad, es evidente que es mucho más grande y más perfecto alcanzar y salvaguardar el de la ciudad; porque procurar el bien de una persona es algo deseable, pero es más hermoso y divino conseguirlo para un pueblo y para las ciudades</w:t>
      </w:r>
    </w:p>
    <w:p w14:paraId="755C83B5" w14:textId="77777777" w:rsidR="0000205E" w:rsidRDefault="006010FD" w:rsidP="00DC0C9C">
      <w:pPr>
        <w:pStyle w:val="Cita"/>
        <w:jc w:val="right"/>
      </w:pPr>
      <w:r w:rsidRPr="005D529F">
        <w:t>ARISTÓTELES, Ética a Nicómaco</w:t>
      </w:r>
    </w:p>
    <w:p w14:paraId="79359E74" w14:textId="77777777" w:rsidR="0000205E" w:rsidRDefault="0000205E" w:rsidP="00DC0C9C">
      <w:pPr>
        <w:pStyle w:val="Cita"/>
        <w:jc w:val="right"/>
        <w:rPr>
          <w:rFonts w:cs="Times New Roman"/>
        </w:rPr>
      </w:pPr>
    </w:p>
    <w:p w14:paraId="16EDD211" w14:textId="77777777" w:rsidR="0000205E" w:rsidRPr="00F12DA0" w:rsidRDefault="006010FD" w:rsidP="00D65569">
      <w:pPr>
        <w:pStyle w:val="Cita"/>
        <w:ind w:left="1134"/>
        <w:jc w:val="right"/>
        <w:rPr>
          <w:rFonts w:cs="Times New Roman"/>
          <w:color w:val="1F497D" w:themeColor="text2"/>
        </w:rPr>
      </w:pPr>
      <w:r w:rsidRPr="00F12DA0">
        <w:rPr>
          <w:rFonts w:cs="Times New Roman"/>
          <w:color w:val="1F497D" w:themeColor="text2"/>
        </w:rPr>
        <w:t xml:space="preserve">Por los asuntos de la ciudad es preciso tomarse un interés mayor que por todo lo demás para que esté bien encaminada ... Y es que una ciudad bien encaminada comporta el máximo bienestar y en ella se encuentra todo; y si ella subsiste, todo subsiste; pero si se arruina, todo se arruina </w:t>
      </w:r>
    </w:p>
    <w:p w14:paraId="79BE8FF1" w14:textId="77777777" w:rsidR="0000205E" w:rsidRDefault="006010FD" w:rsidP="00DC0C9C">
      <w:pPr>
        <w:pStyle w:val="Cita"/>
        <w:jc w:val="right"/>
        <w:rPr>
          <w:rFonts w:cs="Times New Roman"/>
        </w:rPr>
      </w:pPr>
      <w:r w:rsidRPr="005D529F">
        <w:rPr>
          <w:rFonts w:cs="Times New Roman"/>
        </w:rPr>
        <w:t>DEMÓCRITO,  Sobre el buen ánimo, (Fr. 252 DK)</w:t>
      </w:r>
    </w:p>
    <w:p w14:paraId="1EA51B9F" w14:textId="77777777" w:rsidR="0000205E" w:rsidRDefault="0000205E" w:rsidP="00DC0C9C">
      <w:pPr>
        <w:jc w:val="right"/>
      </w:pPr>
    </w:p>
    <w:p w14:paraId="3F215B09" w14:textId="77777777" w:rsidR="0000205E" w:rsidRDefault="0000205E" w:rsidP="005D529F"/>
    <w:p w14:paraId="7DAE2B8D" w14:textId="77777777" w:rsidR="0000205E" w:rsidRDefault="0000205E" w:rsidP="005D529F"/>
    <w:p w14:paraId="1DC9C4C6" w14:textId="77777777" w:rsidR="0000205E" w:rsidRDefault="0000205E" w:rsidP="005D529F"/>
    <w:p w14:paraId="608E9FD8" w14:textId="77777777" w:rsidR="0000205E" w:rsidRDefault="0000205E" w:rsidP="005D529F"/>
    <w:p w14:paraId="54CA6B10" w14:textId="77777777" w:rsidR="00AE45BD" w:rsidRDefault="00AE45BD" w:rsidP="005D529F">
      <w:pPr>
        <w:sectPr w:rsidR="00AE45BD" w:rsidSect="005D79E7">
          <w:pgSz w:w="11900" w:h="16840"/>
          <w:pgMar w:top="1985" w:right="1814" w:bottom="1758" w:left="1814" w:header="709" w:footer="709" w:gutter="0"/>
          <w:pgNumType w:start="5"/>
          <w:cols w:space="708"/>
          <w:titlePg/>
          <w:docGrid w:linePitch="360"/>
        </w:sectPr>
      </w:pPr>
    </w:p>
    <w:p w14:paraId="62F2593F" w14:textId="77777777" w:rsidR="00F634B9" w:rsidRDefault="00F634B9" w:rsidP="007E1479">
      <w:pPr>
        <w:pStyle w:val="Ttulo2"/>
        <w:rPr>
          <w:i/>
        </w:rPr>
      </w:pPr>
      <w:bookmarkStart w:id="1" w:name="_Toc311991772"/>
      <w:bookmarkStart w:id="2" w:name="_Toc311993001"/>
    </w:p>
    <w:p w14:paraId="0148C94C" w14:textId="77777777" w:rsidR="0000205E" w:rsidRPr="007E1479" w:rsidRDefault="00054750" w:rsidP="007E1479">
      <w:pPr>
        <w:pStyle w:val="Ttulo2"/>
        <w:rPr>
          <w:i/>
        </w:rPr>
      </w:pPr>
      <w:r w:rsidRPr="007E1479">
        <w:rPr>
          <w:i/>
        </w:rPr>
        <w:t>Índice</w:t>
      </w:r>
      <w:bookmarkEnd w:id="1"/>
      <w:bookmarkEnd w:id="2"/>
    </w:p>
    <w:p w14:paraId="33F2786D" w14:textId="77777777" w:rsidR="00F12DA0" w:rsidRDefault="00F12DA0">
      <w:pPr>
        <w:pStyle w:val="TDC1"/>
        <w:tabs>
          <w:tab w:val="right" w:leader="dot" w:pos="8262"/>
        </w:tabs>
        <w:rPr>
          <w:rFonts w:cs="Times New Roman"/>
          <w:b w:val="0"/>
          <w:i w:val="0"/>
        </w:rPr>
      </w:pPr>
    </w:p>
    <w:p w14:paraId="0656B59C" w14:textId="77777777" w:rsidR="00F634B9" w:rsidRDefault="00F634B9" w:rsidP="00F634B9"/>
    <w:p w14:paraId="4781CE7B" w14:textId="77777777" w:rsidR="00F634B9" w:rsidRPr="00F634B9" w:rsidRDefault="00F634B9" w:rsidP="00F634B9"/>
    <w:p w14:paraId="5283D5DC" w14:textId="77777777" w:rsidR="00F12DA0" w:rsidRDefault="00F12DA0">
      <w:pPr>
        <w:pStyle w:val="TDC1"/>
        <w:tabs>
          <w:tab w:val="right" w:pos="8262"/>
        </w:tabs>
        <w:rPr>
          <w:rFonts w:asciiTheme="minorHAnsi" w:hAnsiTheme="minorHAnsi"/>
          <w:b w:val="0"/>
          <w:i w:val="0"/>
          <w:noProof/>
          <w:color w:val="auto"/>
          <w:sz w:val="24"/>
          <w:lang w:val="es-ES" w:eastAsia="ja-JP"/>
        </w:rPr>
      </w:pPr>
      <w:r>
        <w:rPr>
          <w:rFonts w:cs="Times New Roman"/>
          <w:b w:val="0"/>
          <w:i w:val="0"/>
        </w:rPr>
        <w:fldChar w:fldCharType="begin"/>
      </w:r>
      <w:r>
        <w:rPr>
          <w:rFonts w:cs="Times New Roman"/>
          <w:b w:val="0"/>
          <w:i w:val="0"/>
        </w:rPr>
        <w:instrText xml:space="preserve"> TOC \o "1-1" </w:instrText>
      </w:r>
      <w:r>
        <w:rPr>
          <w:rFonts w:cs="Times New Roman"/>
          <w:b w:val="0"/>
          <w:i w:val="0"/>
        </w:rPr>
        <w:fldChar w:fldCharType="separate"/>
      </w:r>
      <w:r>
        <w:rPr>
          <w:noProof/>
        </w:rPr>
        <w:t>Introducción</w:t>
      </w:r>
      <w:r>
        <w:rPr>
          <w:noProof/>
        </w:rPr>
        <w:tab/>
      </w:r>
      <w:r>
        <w:rPr>
          <w:noProof/>
        </w:rPr>
        <w:fldChar w:fldCharType="begin"/>
      </w:r>
      <w:r>
        <w:rPr>
          <w:noProof/>
        </w:rPr>
        <w:instrText xml:space="preserve"> PAGEREF _Toc311998412 \h </w:instrText>
      </w:r>
      <w:r>
        <w:rPr>
          <w:noProof/>
        </w:rPr>
      </w:r>
      <w:r>
        <w:rPr>
          <w:noProof/>
        </w:rPr>
        <w:fldChar w:fldCharType="separate"/>
      </w:r>
      <w:r w:rsidR="005A4AF6">
        <w:rPr>
          <w:noProof/>
        </w:rPr>
        <w:t>4</w:t>
      </w:r>
      <w:r>
        <w:rPr>
          <w:noProof/>
        </w:rPr>
        <w:fldChar w:fldCharType="end"/>
      </w:r>
    </w:p>
    <w:p w14:paraId="26B02CD8" w14:textId="77777777" w:rsidR="00F12DA0" w:rsidRDefault="00F12DA0">
      <w:pPr>
        <w:pStyle w:val="TDC1"/>
        <w:tabs>
          <w:tab w:val="right" w:pos="8262"/>
        </w:tabs>
        <w:rPr>
          <w:rFonts w:asciiTheme="minorHAnsi" w:hAnsiTheme="minorHAnsi"/>
          <w:b w:val="0"/>
          <w:i w:val="0"/>
          <w:noProof/>
          <w:color w:val="auto"/>
          <w:sz w:val="24"/>
          <w:lang w:val="es-ES" w:eastAsia="ja-JP"/>
        </w:rPr>
      </w:pPr>
      <w:r>
        <w:rPr>
          <w:noProof/>
        </w:rPr>
        <w:t>1  Sobre la felicidad</w:t>
      </w:r>
      <w:r>
        <w:rPr>
          <w:noProof/>
        </w:rPr>
        <w:tab/>
      </w:r>
      <w:r>
        <w:rPr>
          <w:noProof/>
        </w:rPr>
        <w:fldChar w:fldCharType="begin"/>
      </w:r>
      <w:r>
        <w:rPr>
          <w:noProof/>
        </w:rPr>
        <w:instrText xml:space="preserve"> PAGEREF _Toc311998413 \h </w:instrText>
      </w:r>
      <w:r>
        <w:rPr>
          <w:noProof/>
        </w:rPr>
      </w:r>
      <w:r>
        <w:rPr>
          <w:noProof/>
        </w:rPr>
        <w:fldChar w:fldCharType="separate"/>
      </w:r>
      <w:r w:rsidR="005A4AF6">
        <w:rPr>
          <w:noProof/>
        </w:rPr>
        <w:t>11</w:t>
      </w:r>
      <w:r>
        <w:rPr>
          <w:noProof/>
        </w:rPr>
        <w:fldChar w:fldCharType="end"/>
      </w:r>
    </w:p>
    <w:p w14:paraId="4FB51EBA" w14:textId="77777777" w:rsidR="00F12DA0" w:rsidRDefault="00F12DA0">
      <w:pPr>
        <w:pStyle w:val="TDC1"/>
        <w:tabs>
          <w:tab w:val="right" w:pos="8262"/>
        </w:tabs>
        <w:rPr>
          <w:rFonts w:asciiTheme="minorHAnsi" w:hAnsiTheme="minorHAnsi"/>
          <w:b w:val="0"/>
          <w:i w:val="0"/>
          <w:noProof/>
          <w:color w:val="auto"/>
          <w:sz w:val="24"/>
          <w:lang w:val="es-ES" w:eastAsia="ja-JP"/>
        </w:rPr>
      </w:pPr>
      <w:r>
        <w:rPr>
          <w:noProof/>
        </w:rPr>
        <w:t>2  La medida del bienestar subjetivo</w:t>
      </w:r>
      <w:r>
        <w:rPr>
          <w:noProof/>
        </w:rPr>
        <w:tab/>
      </w:r>
      <w:r>
        <w:rPr>
          <w:noProof/>
        </w:rPr>
        <w:fldChar w:fldCharType="begin"/>
      </w:r>
      <w:r>
        <w:rPr>
          <w:noProof/>
        </w:rPr>
        <w:instrText xml:space="preserve"> PAGEREF _Toc311998414 \h </w:instrText>
      </w:r>
      <w:r>
        <w:rPr>
          <w:noProof/>
        </w:rPr>
      </w:r>
      <w:r>
        <w:rPr>
          <w:noProof/>
        </w:rPr>
        <w:fldChar w:fldCharType="separate"/>
      </w:r>
      <w:r w:rsidR="005A4AF6">
        <w:rPr>
          <w:noProof/>
        </w:rPr>
        <w:t>20</w:t>
      </w:r>
      <w:r>
        <w:rPr>
          <w:noProof/>
        </w:rPr>
        <w:fldChar w:fldCharType="end"/>
      </w:r>
    </w:p>
    <w:p w14:paraId="7268B19D" w14:textId="77777777" w:rsidR="00F12DA0" w:rsidRDefault="00F12DA0">
      <w:pPr>
        <w:pStyle w:val="TDC1"/>
        <w:tabs>
          <w:tab w:val="right" w:pos="8262"/>
        </w:tabs>
        <w:rPr>
          <w:rFonts w:asciiTheme="minorHAnsi" w:hAnsiTheme="minorHAnsi"/>
          <w:b w:val="0"/>
          <w:i w:val="0"/>
          <w:noProof/>
          <w:color w:val="auto"/>
          <w:sz w:val="24"/>
          <w:lang w:val="es-ES" w:eastAsia="ja-JP"/>
        </w:rPr>
      </w:pPr>
      <w:r>
        <w:rPr>
          <w:noProof/>
        </w:rPr>
        <w:t>3 El bienestar emocional en la sociedad española.</w:t>
      </w:r>
      <w:r>
        <w:rPr>
          <w:noProof/>
        </w:rPr>
        <w:tab/>
      </w:r>
      <w:r>
        <w:rPr>
          <w:noProof/>
        </w:rPr>
        <w:fldChar w:fldCharType="begin"/>
      </w:r>
      <w:r>
        <w:rPr>
          <w:noProof/>
        </w:rPr>
        <w:instrText xml:space="preserve"> PAGEREF _Toc311998415 \h </w:instrText>
      </w:r>
      <w:r>
        <w:rPr>
          <w:noProof/>
        </w:rPr>
      </w:r>
      <w:r>
        <w:rPr>
          <w:noProof/>
        </w:rPr>
        <w:fldChar w:fldCharType="separate"/>
      </w:r>
      <w:r w:rsidR="005A4AF6">
        <w:rPr>
          <w:noProof/>
        </w:rPr>
        <w:t>36</w:t>
      </w:r>
      <w:r>
        <w:rPr>
          <w:noProof/>
        </w:rPr>
        <w:fldChar w:fldCharType="end"/>
      </w:r>
    </w:p>
    <w:p w14:paraId="3572D164" w14:textId="77777777" w:rsidR="00F12DA0" w:rsidRDefault="00F12DA0">
      <w:pPr>
        <w:pStyle w:val="TDC1"/>
        <w:tabs>
          <w:tab w:val="right" w:pos="8262"/>
        </w:tabs>
        <w:rPr>
          <w:rFonts w:asciiTheme="minorHAnsi" w:hAnsiTheme="minorHAnsi"/>
          <w:b w:val="0"/>
          <w:i w:val="0"/>
          <w:noProof/>
          <w:color w:val="auto"/>
          <w:sz w:val="24"/>
          <w:lang w:val="es-ES" w:eastAsia="ja-JP"/>
        </w:rPr>
      </w:pPr>
      <w:r>
        <w:rPr>
          <w:noProof/>
        </w:rPr>
        <w:t>4 Excluidos de la felicidad</w:t>
      </w:r>
      <w:r>
        <w:rPr>
          <w:noProof/>
        </w:rPr>
        <w:tab/>
      </w:r>
      <w:r>
        <w:rPr>
          <w:noProof/>
        </w:rPr>
        <w:fldChar w:fldCharType="begin"/>
      </w:r>
      <w:r>
        <w:rPr>
          <w:noProof/>
        </w:rPr>
        <w:instrText xml:space="preserve"> PAGEREF _Toc311998416 \h </w:instrText>
      </w:r>
      <w:r>
        <w:rPr>
          <w:noProof/>
        </w:rPr>
      </w:r>
      <w:r>
        <w:rPr>
          <w:noProof/>
        </w:rPr>
        <w:fldChar w:fldCharType="separate"/>
      </w:r>
      <w:r w:rsidR="005A4AF6">
        <w:rPr>
          <w:noProof/>
        </w:rPr>
        <w:t>52</w:t>
      </w:r>
      <w:r>
        <w:rPr>
          <w:noProof/>
        </w:rPr>
        <w:fldChar w:fldCharType="end"/>
      </w:r>
    </w:p>
    <w:p w14:paraId="10D7BED3" w14:textId="77777777" w:rsidR="00F12DA0" w:rsidRDefault="00F12DA0">
      <w:pPr>
        <w:pStyle w:val="TDC1"/>
        <w:tabs>
          <w:tab w:val="right" w:pos="8262"/>
        </w:tabs>
        <w:rPr>
          <w:rFonts w:asciiTheme="minorHAnsi" w:hAnsiTheme="minorHAnsi"/>
          <w:b w:val="0"/>
          <w:i w:val="0"/>
          <w:noProof/>
          <w:color w:val="auto"/>
          <w:sz w:val="24"/>
          <w:lang w:val="es-ES" w:eastAsia="ja-JP"/>
        </w:rPr>
      </w:pPr>
      <w:r>
        <w:rPr>
          <w:noProof/>
        </w:rPr>
        <w:t>5  Catástrofes personales</w:t>
      </w:r>
      <w:r>
        <w:rPr>
          <w:noProof/>
        </w:rPr>
        <w:tab/>
      </w:r>
      <w:r>
        <w:rPr>
          <w:noProof/>
        </w:rPr>
        <w:fldChar w:fldCharType="begin"/>
      </w:r>
      <w:r>
        <w:rPr>
          <w:noProof/>
        </w:rPr>
        <w:instrText xml:space="preserve"> PAGEREF _Toc311998417 \h </w:instrText>
      </w:r>
      <w:r>
        <w:rPr>
          <w:noProof/>
        </w:rPr>
      </w:r>
      <w:r>
        <w:rPr>
          <w:noProof/>
        </w:rPr>
        <w:fldChar w:fldCharType="separate"/>
      </w:r>
      <w:r w:rsidR="005A4AF6">
        <w:rPr>
          <w:noProof/>
        </w:rPr>
        <w:t>66</w:t>
      </w:r>
      <w:r>
        <w:rPr>
          <w:noProof/>
        </w:rPr>
        <w:fldChar w:fldCharType="end"/>
      </w:r>
    </w:p>
    <w:p w14:paraId="3FC061CB" w14:textId="77777777" w:rsidR="00F12DA0" w:rsidRDefault="00F12DA0">
      <w:pPr>
        <w:pStyle w:val="TDC1"/>
        <w:tabs>
          <w:tab w:val="right" w:pos="8262"/>
        </w:tabs>
        <w:rPr>
          <w:rFonts w:asciiTheme="minorHAnsi" w:hAnsiTheme="minorHAnsi"/>
          <w:b w:val="0"/>
          <w:i w:val="0"/>
          <w:noProof/>
          <w:color w:val="auto"/>
          <w:sz w:val="24"/>
          <w:lang w:val="es-ES" w:eastAsia="ja-JP"/>
        </w:rPr>
      </w:pPr>
      <w:r>
        <w:rPr>
          <w:noProof/>
        </w:rPr>
        <w:t>6  Exclusiones sociales I. El respeto</w:t>
      </w:r>
      <w:r>
        <w:rPr>
          <w:noProof/>
        </w:rPr>
        <w:tab/>
      </w:r>
      <w:r>
        <w:rPr>
          <w:noProof/>
        </w:rPr>
        <w:fldChar w:fldCharType="begin"/>
      </w:r>
      <w:r>
        <w:rPr>
          <w:noProof/>
        </w:rPr>
        <w:instrText xml:space="preserve"> PAGEREF _Toc311998418 \h </w:instrText>
      </w:r>
      <w:r>
        <w:rPr>
          <w:noProof/>
        </w:rPr>
      </w:r>
      <w:r>
        <w:rPr>
          <w:noProof/>
        </w:rPr>
        <w:fldChar w:fldCharType="separate"/>
      </w:r>
      <w:r w:rsidR="005A4AF6">
        <w:rPr>
          <w:noProof/>
        </w:rPr>
        <w:t>83</w:t>
      </w:r>
      <w:r>
        <w:rPr>
          <w:noProof/>
        </w:rPr>
        <w:fldChar w:fldCharType="end"/>
      </w:r>
    </w:p>
    <w:p w14:paraId="52748AFA" w14:textId="77777777" w:rsidR="00F12DA0" w:rsidRDefault="00F12DA0">
      <w:pPr>
        <w:pStyle w:val="TDC1"/>
        <w:tabs>
          <w:tab w:val="right" w:pos="8262"/>
        </w:tabs>
        <w:rPr>
          <w:rFonts w:asciiTheme="minorHAnsi" w:hAnsiTheme="minorHAnsi"/>
          <w:b w:val="0"/>
          <w:i w:val="0"/>
          <w:noProof/>
          <w:color w:val="auto"/>
          <w:sz w:val="24"/>
          <w:lang w:val="es-ES" w:eastAsia="ja-JP"/>
        </w:rPr>
      </w:pPr>
      <w:r>
        <w:rPr>
          <w:noProof/>
        </w:rPr>
        <w:t>7  Exclusiones sociales II. La pobreza</w:t>
      </w:r>
      <w:r>
        <w:rPr>
          <w:noProof/>
        </w:rPr>
        <w:tab/>
      </w:r>
      <w:r>
        <w:rPr>
          <w:noProof/>
        </w:rPr>
        <w:fldChar w:fldCharType="begin"/>
      </w:r>
      <w:r>
        <w:rPr>
          <w:noProof/>
        </w:rPr>
        <w:instrText xml:space="preserve"> PAGEREF _Toc311998419 \h </w:instrText>
      </w:r>
      <w:r>
        <w:rPr>
          <w:noProof/>
        </w:rPr>
      </w:r>
      <w:r>
        <w:rPr>
          <w:noProof/>
        </w:rPr>
        <w:fldChar w:fldCharType="separate"/>
      </w:r>
      <w:r w:rsidR="005A4AF6">
        <w:rPr>
          <w:noProof/>
        </w:rPr>
        <w:t>99</w:t>
      </w:r>
      <w:r>
        <w:rPr>
          <w:noProof/>
        </w:rPr>
        <w:fldChar w:fldCharType="end"/>
      </w:r>
    </w:p>
    <w:p w14:paraId="5C0477AE" w14:textId="77777777" w:rsidR="00F12DA0" w:rsidRDefault="00F12DA0">
      <w:pPr>
        <w:pStyle w:val="TDC1"/>
        <w:tabs>
          <w:tab w:val="right" w:pos="8262"/>
        </w:tabs>
        <w:rPr>
          <w:rFonts w:asciiTheme="minorHAnsi" w:hAnsiTheme="minorHAnsi"/>
          <w:b w:val="0"/>
          <w:i w:val="0"/>
          <w:noProof/>
          <w:color w:val="auto"/>
          <w:sz w:val="24"/>
          <w:lang w:val="es-ES" w:eastAsia="ja-JP"/>
        </w:rPr>
      </w:pPr>
      <w:r>
        <w:rPr>
          <w:noProof/>
        </w:rPr>
        <w:t>8  La desigualdad emocional de género y de edad</w:t>
      </w:r>
      <w:r>
        <w:rPr>
          <w:noProof/>
        </w:rPr>
        <w:tab/>
      </w:r>
      <w:r>
        <w:rPr>
          <w:noProof/>
        </w:rPr>
        <w:fldChar w:fldCharType="begin"/>
      </w:r>
      <w:r>
        <w:rPr>
          <w:noProof/>
        </w:rPr>
        <w:instrText xml:space="preserve"> PAGEREF _Toc311998420 \h </w:instrText>
      </w:r>
      <w:r>
        <w:rPr>
          <w:noProof/>
        </w:rPr>
      </w:r>
      <w:r>
        <w:rPr>
          <w:noProof/>
        </w:rPr>
        <w:fldChar w:fldCharType="separate"/>
      </w:r>
      <w:r w:rsidR="005A4AF6">
        <w:rPr>
          <w:noProof/>
        </w:rPr>
        <w:t>118</w:t>
      </w:r>
      <w:r>
        <w:rPr>
          <w:noProof/>
        </w:rPr>
        <w:fldChar w:fldCharType="end"/>
      </w:r>
    </w:p>
    <w:p w14:paraId="32702667" w14:textId="77777777" w:rsidR="00F12DA0" w:rsidRDefault="00F12DA0">
      <w:pPr>
        <w:pStyle w:val="TDC1"/>
        <w:tabs>
          <w:tab w:val="right" w:pos="8262"/>
        </w:tabs>
        <w:rPr>
          <w:rFonts w:asciiTheme="minorHAnsi" w:hAnsiTheme="minorHAnsi"/>
          <w:b w:val="0"/>
          <w:i w:val="0"/>
          <w:noProof/>
          <w:color w:val="auto"/>
          <w:sz w:val="24"/>
          <w:lang w:val="es-ES" w:eastAsia="ja-JP"/>
        </w:rPr>
      </w:pPr>
      <w:r>
        <w:rPr>
          <w:noProof/>
        </w:rPr>
        <w:t>Conclusiones</w:t>
      </w:r>
      <w:r>
        <w:rPr>
          <w:noProof/>
        </w:rPr>
        <w:tab/>
      </w:r>
      <w:r>
        <w:rPr>
          <w:noProof/>
        </w:rPr>
        <w:fldChar w:fldCharType="begin"/>
      </w:r>
      <w:r>
        <w:rPr>
          <w:noProof/>
        </w:rPr>
        <w:instrText xml:space="preserve"> PAGEREF _Toc311998421 \h </w:instrText>
      </w:r>
      <w:r>
        <w:rPr>
          <w:noProof/>
        </w:rPr>
      </w:r>
      <w:r>
        <w:rPr>
          <w:noProof/>
        </w:rPr>
        <w:fldChar w:fldCharType="separate"/>
      </w:r>
      <w:r w:rsidR="005A4AF6">
        <w:rPr>
          <w:noProof/>
        </w:rPr>
        <w:t>138</w:t>
      </w:r>
      <w:r>
        <w:rPr>
          <w:noProof/>
        </w:rPr>
        <w:fldChar w:fldCharType="end"/>
      </w:r>
    </w:p>
    <w:p w14:paraId="137E0F3E" w14:textId="77777777" w:rsidR="00F12DA0" w:rsidRDefault="00F12DA0">
      <w:pPr>
        <w:pStyle w:val="TDC1"/>
        <w:tabs>
          <w:tab w:val="right" w:pos="8262"/>
        </w:tabs>
        <w:rPr>
          <w:rFonts w:asciiTheme="minorHAnsi" w:hAnsiTheme="minorHAnsi"/>
          <w:b w:val="0"/>
          <w:i w:val="0"/>
          <w:noProof/>
          <w:color w:val="auto"/>
          <w:sz w:val="24"/>
          <w:lang w:val="es-ES" w:eastAsia="ja-JP"/>
        </w:rPr>
      </w:pPr>
      <w:r>
        <w:rPr>
          <w:noProof/>
        </w:rPr>
        <w:t>Referencias</w:t>
      </w:r>
      <w:r>
        <w:rPr>
          <w:noProof/>
        </w:rPr>
        <w:tab/>
      </w:r>
      <w:r>
        <w:rPr>
          <w:noProof/>
        </w:rPr>
        <w:fldChar w:fldCharType="begin"/>
      </w:r>
      <w:r>
        <w:rPr>
          <w:noProof/>
        </w:rPr>
        <w:instrText xml:space="preserve"> PAGEREF _Toc311998422 \h </w:instrText>
      </w:r>
      <w:r>
        <w:rPr>
          <w:noProof/>
        </w:rPr>
      </w:r>
      <w:r>
        <w:rPr>
          <w:noProof/>
        </w:rPr>
        <w:fldChar w:fldCharType="separate"/>
      </w:r>
      <w:r w:rsidR="005A4AF6">
        <w:rPr>
          <w:noProof/>
        </w:rPr>
        <w:t>141</w:t>
      </w:r>
      <w:r>
        <w:rPr>
          <w:noProof/>
        </w:rPr>
        <w:fldChar w:fldCharType="end"/>
      </w:r>
    </w:p>
    <w:p w14:paraId="661B7E7C" w14:textId="77777777" w:rsidR="00F12DA0" w:rsidRDefault="00F12DA0">
      <w:pPr>
        <w:pStyle w:val="TDC1"/>
        <w:tabs>
          <w:tab w:val="right" w:pos="8262"/>
        </w:tabs>
        <w:rPr>
          <w:rFonts w:asciiTheme="minorHAnsi" w:hAnsiTheme="minorHAnsi"/>
          <w:b w:val="0"/>
          <w:i w:val="0"/>
          <w:noProof/>
          <w:color w:val="auto"/>
          <w:sz w:val="24"/>
          <w:lang w:val="es-ES" w:eastAsia="ja-JP"/>
        </w:rPr>
      </w:pPr>
      <w:r>
        <w:rPr>
          <w:noProof/>
        </w:rPr>
        <w:t>Índice detallado</w:t>
      </w:r>
      <w:r>
        <w:rPr>
          <w:noProof/>
        </w:rPr>
        <w:tab/>
      </w:r>
      <w:r>
        <w:rPr>
          <w:noProof/>
        </w:rPr>
        <w:fldChar w:fldCharType="begin"/>
      </w:r>
      <w:r>
        <w:rPr>
          <w:noProof/>
        </w:rPr>
        <w:instrText xml:space="preserve"> PAGEREF _Toc311998423 \h </w:instrText>
      </w:r>
      <w:r>
        <w:rPr>
          <w:noProof/>
        </w:rPr>
      </w:r>
      <w:r>
        <w:rPr>
          <w:noProof/>
        </w:rPr>
        <w:fldChar w:fldCharType="separate"/>
      </w:r>
      <w:r w:rsidR="005A4AF6">
        <w:rPr>
          <w:noProof/>
        </w:rPr>
        <w:t>153</w:t>
      </w:r>
      <w:r>
        <w:rPr>
          <w:noProof/>
        </w:rPr>
        <w:fldChar w:fldCharType="end"/>
      </w:r>
    </w:p>
    <w:p w14:paraId="19AD5401" w14:textId="595C2EEF" w:rsidR="005D79E7" w:rsidRDefault="00F12DA0" w:rsidP="005D529F">
      <w:pPr>
        <w:rPr>
          <w:rFonts w:cs="Times New Roman"/>
        </w:rPr>
        <w:sectPr w:rsidR="005D79E7" w:rsidSect="005D79E7">
          <w:pgSz w:w="11900" w:h="16840"/>
          <w:pgMar w:top="1985" w:right="1814" w:bottom="1758" w:left="1814" w:header="709" w:footer="709" w:gutter="0"/>
          <w:pgNumType w:start="5"/>
          <w:cols w:space="708"/>
          <w:titlePg/>
          <w:docGrid w:linePitch="360"/>
        </w:sectPr>
      </w:pPr>
      <w:r>
        <w:rPr>
          <w:rFonts w:cs="Times New Roman"/>
          <w:b/>
          <w:i/>
          <w:color w:val="548DD4"/>
          <w:sz w:val="22"/>
          <w:szCs w:val="24"/>
        </w:rPr>
        <w:fldChar w:fldCharType="end"/>
      </w:r>
    </w:p>
    <w:p w14:paraId="351C1ABD" w14:textId="77E59027" w:rsidR="00FD1583" w:rsidRDefault="0000205E" w:rsidP="00812446">
      <w:pPr>
        <w:pStyle w:val="Ttulo1"/>
      </w:pPr>
      <w:bookmarkStart w:id="3" w:name="_Toc311991773"/>
      <w:bookmarkStart w:id="4" w:name="_Toc311993002"/>
      <w:bookmarkStart w:id="5" w:name="_Toc311998412"/>
      <w:r w:rsidRPr="003D28E5">
        <w:lastRenderedPageBreak/>
        <w:t>Introducción</w:t>
      </w:r>
      <w:bookmarkEnd w:id="3"/>
      <w:bookmarkEnd w:id="4"/>
      <w:bookmarkEnd w:id="5"/>
    </w:p>
    <w:p w14:paraId="00362312" w14:textId="77777777" w:rsidR="0000205E" w:rsidRDefault="006A2852" w:rsidP="00753577">
      <w:pPr>
        <w:pStyle w:val="Ttulo3"/>
      </w:pPr>
      <w:bookmarkStart w:id="6" w:name="_Toc311991774"/>
      <w:bookmarkStart w:id="7" w:name="_Toc311993003"/>
      <w:r w:rsidRPr="005D529F">
        <w:t>Perspectiva</w:t>
      </w:r>
      <w:bookmarkEnd w:id="6"/>
      <w:bookmarkEnd w:id="7"/>
    </w:p>
    <w:p w14:paraId="7A07BE44" w14:textId="77777777" w:rsidR="0000205E" w:rsidRDefault="006A2852" w:rsidP="005D529F">
      <w:r w:rsidRPr="005D529F">
        <w:t xml:space="preserve">La modernidad inauguró e impulsó su advenimiento con una gran idea, la de Progreso, y con una gran promesa, aquella que algunos pensadores iluministas y utilitaristas, como Jeremías Bentham, condensaron en la fórmula “la mayor felicidad para el mayor número”. Ahora bien, esta meta originaria de la modernidad enseguida fue transmutándose, merced a la introducción de un nuevo concepto, el de bienestar, en un objetivo parecido, pero no exactamente igual. La riqueza de la naciones, de Adam Smith, padre de la economía moderna, ganó la partida a La teoría de los </w:t>
      </w:r>
      <w:r w:rsidRPr="00EE4AAB">
        <w:t>sentimientos</w:t>
      </w:r>
      <w:r w:rsidRPr="005D529F">
        <w:t xml:space="preserve"> morales, una obra precedente del mismo autor. El Producto Interior Bruto de los países, indicador sintético que Simon Kuznets presentó ante el Congreso de Estados Unidos en 1934, y el nivel de ingresos económicos de las personas y/o de las familias, esto es, el dinero, sustituyó definitivamente a la felicidad como gran promesa de la sociedad moderna. Se dio ingenuamente por supuesto que el incremento de la riqueza traería consigo la felicidad. Para ser más exactos, se le denominó bienestar, quedando definitivamente reducido a bienestar material. Así que el deseo de lograr “el mayor nivel de renta para el mayor número”, esto es, el Becerro de Oro, se instaló en el Olimpo de la sociedad moderna como su único Dios.</w:t>
      </w:r>
    </w:p>
    <w:p w14:paraId="2E49C644" w14:textId="77777777" w:rsidR="0000205E" w:rsidRDefault="006A2852" w:rsidP="005D529F">
      <w:r w:rsidRPr="005D529F">
        <w:t>Tras dos cientos años de modernidad, y quizás debido al decaimiento de sus impulsos originarios, a la relativa desconfianza que inspiran hoy sus proyectos, o incluso al propio éxito económico cosechado por las sociedades modernas, hoy ya convertidas en sociedades globales, tecnológicas, avanzadas, del conocimiento y de la abundancia material, los individuos de estas sociedades redirigen sus miradas hacia el corazón de la intimidad y descubren que, pese a su inmensa riqueza económica y a su tremendo poder, ni todos los ciudadanos son felices, ni tampoco nadie es completamente feliz. Ahora comienzan a ser conscientes de que la sociedad moderna ha sido incapaz de cumplir su gran promesa, y que el sufrimiento, lejos de desaparecer, se extiende inundando todos los alvéolos de la estructura social.</w:t>
      </w:r>
    </w:p>
    <w:p w14:paraId="6644E79B" w14:textId="77777777" w:rsidR="0000205E" w:rsidRDefault="006A2852" w:rsidP="005D529F">
      <w:pPr>
        <w:rPr>
          <w:rFonts w:cs="Times New Roman"/>
        </w:rPr>
      </w:pPr>
      <w:r w:rsidRPr="005D529F">
        <w:rPr>
          <w:rFonts w:cs="Times New Roman"/>
        </w:rPr>
        <w:t xml:space="preserve">Surge así un individualismo expresivo, casi siempre desesperado, en muchas ocasiones banal, cuya meta preferente queda cifrada en el logro de la propia felicidad. Olvidando que toda sociedad y época instituye unas características condiciones existenciales, y que en el fondo la felicidad de cada cual está íntimamente ligada a la de los demás, los individuos recurren a múltiples tipos de terapias y psicoterapias para tratar de resolver su mal particular, que ha dejado de ser un mal objetivo y colectivo, como el mal diagnosticado en el origen de la modernidad, para convertirse, en esta fase posmoderna, en puro malestar emocional. El problema es que si el individuo resulta ser el único responsable de su felicidad, también será el único culpable de su sufrimiento. En este </w:t>
      </w:r>
      <w:r w:rsidRPr="005D529F">
        <w:rPr>
          <w:rFonts w:cs="Times New Roman"/>
        </w:rPr>
        <w:lastRenderedPageBreak/>
        <w:t>contexto hiper-individualizado, como bien han señalado Eva Illouz o Helena Béjar, las personas necesitan o demandan ayuda para la auto-ayuda, pues no tienen más remedio que aprender a gestionar emocionalmente su intimidad neutralizando las emociones negativas y promoviendo las positivas. La nueva máxima práctica es la siguiente: todos los problemas pueden (esto es, deben) quedar disueltos en el cerrado mundo de la intimidad con una adecuada gestión emocional. De ahí que proliferen la literatura de consejos, los libros sobre la felicidad, los manuales de auto-ayuda, y todo tipo de psicologías positivas, como por ejemplo la promovida por Martin Seligman, que tratan de infundir ánimo en las personas convenciéndolas de que, independientemente de sus condiciones sociales de posibilidad, ellas mismas, si se lo proponen, podrán darle la vuelta a la tortilla (emocional) transformando, con una terapia conveniente, o incluso con un simple y mágico chasquido de dedos, el sufrimiento en felicidad.</w:t>
      </w:r>
    </w:p>
    <w:p w14:paraId="5A8FCF83" w14:textId="77777777" w:rsidR="0000205E" w:rsidRDefault="006A2852" w:rsidP="005D529F">
      <w:pPr>
        <w:rPr>
          <w:rFonts w:cs="Times New Roman"/>
        </w:rPr>
      </w:pPr>
      <w:r w:rsidRPr="005D529F">
        <w:rPr>
          <w:rFonts w:cs="Times New Roman"/>
        </w:rPr>
        <w:t>La perspectiva de este libro comparte la idea de que es necesario ir más allá del Producto Interior Bruto como única expresión de la riqueza y como única unidad de medida del progreso de nuestras sociedades. Es urgente complementar los indicadores de desarrollo económico, no solo con indicadores medioambientales y sociales, tal y como actualmente promueve la Comisión Europea mediante la iniciativa denominada Beyond GDP, sino también con índices de bienestar emocional que trasciendan las mediciones estándar basadas exclusivamente en el bienestar material de la población. El “Informe de la Comisión sobre Medición del Desarrollo Económico y del Progreso Social”, también conocido como Informe Stiglitz-Sen-Fitoussi, sostiene que las mediciones del bienestar, tanto objetivo como subjetivo, proporcionan informaciones esenciales de la calidad de vida. El informe también corrobora la idea de que existe una demanda urgente a favor del perfeccionamiento de una medida sintética única de la calidad de vida, confirmando que ya se utilizan algunas medidas de este tipo, como por ejemplo el nivel promedio de la satisfacción con la vida en un país.</w:t>
      </w:r>
    </w:p>
    <w:p w14:paraId="01D6ED65" w14:textId="77777777" w:rsidR="0000205E" w:rsidRDefault="006A2852" w:rsidP="005D529F">
      <w:pPr>
        <w:rPr>
          <w:rFonts w:cs="Times New Roman"/>
        </w:rPr>
      </w:pPr>
      <w:r w:rsidRPr="005D529F">
        <w:rPr>
          <w:rFonts w:cs="Times New Roman"/>
        </w:rPr>
        <w:t>Más allá del índice de bienestar subjetivo que finalmente nuestras sociedades decidan utilizar como medida complementaria del PIB, es indudable que seguir estimando tanto el progreso social como la calidad de vida de los ciudadanos exclusivamente con indicadores objetivos, de carácter económico, constituye un craso e imperdonable error. Podemos seguir utilizando la riqueza como patrón de valor, pero no como el único patrón de valor. Nuestras sociedades deben tomarse definitivamente en serio la felicidad, reconociendo que la felicidad de las personas es lo que realmente importa. La riqueza y la felicidad deben ser socialmente consideradas al mismo nivel en cuanto patrones de valor. Una felicidad que si bien, en tanto meta-emoción, solo puede ser sentida por personas concretas de carne y hueso, su conquista nunca debe quedar exclusivamente circunscrita al marco de un modelo psicoterapéutico individualista. La felicidad, en tanto patrón de valor social puede servir de guía para la creación de nuevos modos de vida digna que impliquen, más allá de la propia responsabilidad individual, proyectos de buena sociedad cargado de responsabilidades compartidas.</w:t>
      </w:r>
    </w:p>
    <w:p w14:paraId="04DE76A1" w14:textId="77777777" w:rsidR="0000205E" w:rsidRDefault="006A2852" w:rsidP="005D529F">
      <w:pPr>
        <w:rPr>
          <w:rFonts w:cs="Times New Roman"/>
        </w:rPr>
      </w:pPr>
      <w:r w:rsidRPr="005D529F">
        <w:rPr>
          <w:rFonts w:cs="Times New Roman"/>
        </w:rPr>
        <w:t xml:space="preserve">En las condiciones actuales debemos retomar el propósito originario de la modernidad expresado en la fórmula “la mayor felicidad para el mayor número”, meta que implica el </w:t>
      </w:r>
      <w:r w:rsidRPr="005D529F">
        <w:rPr>
          <w:rFonts w:cs="Times New Roman"/>
        </w:rPr>
        <w:lastRenderedPageBreak/>
        <w:t>logro de un bienestar emocional que únicamente puede ser estimado y valorado en el marco del progresivo desarrollo de un proyecto tanto personal como social de felicidad. En este contexto, el libro que presentamos emerge de la aplicación de una triple perspectiva. En primer término, el trabajo asume una perspectiva hedonista del bienestar y, por tanto, sostiene que el análisis del bienestar emocional de la población es un complemento indispensable de los análisis del bienestar material habitualmente realizados hasta ahora. En segundo término, el trabajo asume un perspectiva sociológica del bienestar y, por tanto, sostiene que el estudio de las condiciones sociales de la felicidad es un complemento indispensable de los estudios individuales de la felicidad habitualmente realizados hasta ahora. En tercer término, el trabajo sobre el bienestar emocional que presentamos no está especialmente interesado en conocer quiénes son felices y disfrutan mucho de la vida, ni tampoco en saber cómo pueden las personas alcanzar la felicidad. Buena parte de los índices de bienestar subjetivo creados recientemente, como los de Huppert o de Diener, están inspirados por la idea eudamonista de la felicidad, y orientados hacia el análisis del florecimiento personal o polo positivo de la felicidad. Nuestro trabajo, al contrario, asume más bien la perspectiva de una sociología del sufrimiento que se preocupa primordialmente por los seres humanos que viven tristes, deprimidos e infelices.</w:t>
      </w:r>
    </w:p>
    <w:p w14:paraId="3B42FAE2" w14:textId="7AA71BE1" w:rsidR="00FD1583" w:rsidRPr="0086368F" w:rsidRDefault="006A2852" w:rsidP="0086368F">
      <w:pPr>
        <w:rPr>
          <w:rFonts w:cs="Times New Roman"/>
        </w:rPr>
      </w:pPr>
      <w:r w:rsidRPr="005D529F">
        <w:rPr>
          <w:rFonts w:cs="Times New Roman"/>
        </w:rPr>
        <w:t>Aunque como señalara en 1934 Leopold von Wise en su artículo Sociología del Sufrimiento, nada obliga a estudiar el dolor y la infelicidad en vez del goce, el contento  y el placer, es obvio que no tendría mucho sentido que los Estados, y sus políticas públicas, se plantearan como meta crear un mundo feliz. En primer lugar, algunos filósofos han negado que la felicidad sea el bien supremo que todo ser humano debiera alcanzar. A este respecto, John Locke afirmó: “Prefiero ser un ser humano insatisfecho que un cerdo satisfecho”. En segundo lugar, la felicidad es algo muy personal, que cada individuo entiende a su manera. En tercer lugar, sería altamente sospechoso que un Estado se inmiscuyera en la intimidad de una persona con la pretensión de hacerla feliz. A la inversa, tendría mucho sentido que tanto los Estados, como sus políticas públicas, se plantearan como meta social de primer orden crear un mundo sin infelicidad, que ayudaran a reducir y a calmar el dolor las personas desgraciadas e infelices, y que trataran de eliminar en lo posible todas las condiciones sociales causantes de malestar emocional. La meta que deberían plantearse nuestras sociedades no sería, entonces, la mayor felicidad para el mayor número sino, a la inversa, la menor infelicidad para el mayor número. En suma, este libro está más inspirado por la perspectiva del sufrimiento que por la de la felicidad y, por tanto, antes de preocuparse por las personas felices, ha optado por preocuparse y ocuparse de los que sufren, esto es, de todas las personas que han sido excluidas de la felicidad.</w:t>
      </w:r>
    </w:p>
    <w:p w14:paraId="13D6CB75" w14:textId="77777777" w:rsidR="0000205E" w:rsidRDefault="006A2852" w:rsidP="00753577">
      <w:pPr>
        <w:pStyle w:val="Ttulo3"/>
      </w:pPr>
      <w:bookmarkStart w:id="8" w:name="_Toc311991775"/>
      <w:bookmarkStart w:id="9" w:name="_Toc311993004"/>
      <w:r w:rsidRPr="005D529F">
        <w:t>Técnica</w:t>
      </w:r>
      <w:bookmarkEnd w:id="8"/>
      <w:bookmarkEnd w:id="9"/>
    </w:p>
    <w:p w14:paraId="0D466E70" w14:textId="77777777" w:rsidR="0000205E" w:rsidRDefault="006A2852" w:rsidP="005D529F">
      <w:pPr>
        <w:rPr>
          <w:rFonts w:cs="Times New Roman"/>
        </w:rPr>
      </w:pPr>
      <w:r w:rsidRPr="005D529F">
        <w:rPr>
          <w:rFonts w:cs="Times New Roman"/>
        </w:rPr>
        <w:t xml:space="preserve">La profesora Felicia Huppert y su colaboradores en el Instituto del Bienestar de la Universidad de Cambridge, UK, propusieron a la Encuesta Social Europea, encuesta que </w:t>
      </w:r>
      <w:r w:rsidRPr="005D529F">
        <w:rPr>
          <w:rFonts w:cs="Times New Roman"/>
        </w:rPr>
        <w:lastRenderedPageBreak/>
        <w:t xml:space="preserve">recibió el Premio Descartes de la ciencia en el año 2005, introducir en el cuestionario de 2006 un módulo especial de preguntas con el objeto de estudiar el bienestar personal y social de la población europea. Este excelente módulo se volvió a incluir en la Encuesta Social Europea de 2012. Ello nos ha permitido utilizar una amplísima base de datos, resultado de dos macro-encuestas, realizadas en un total de 27 países europeos, y en dos años diferentes, 2006 y 2012. Es la primera vez que tenemos información empírica, representativa y fiable, sobre los sentimientos de una población tan amplia, la facilitada por los 88.572 ciudadanos europeos que participaron en estas dos encuestas. Nunca antes se había dispuesto de una base de datos tan fabulosa para estudiar el sufrimiento y la felicidad.   </w:t>
      </w:r>
    </w:p>
    <w:p w14:paraId="543D5536" w14:textId="77777777" w:rsidR="0000205E" w:rsidRDefault="006A2852" w:rsidP="005D529F">
      <w:pPr>
        <w:rPr>
          <w:rFonts w:cs="Times New Roman"/>
        </w:rPr>
      </w:pPr>
      <w:r w:rsidRPr="005D529F">
        <w:rPr>
          <w:rFonts w:cs="Times New Roman"/>
        </w:rPr>
        <w:t>El módulo de bienestar personal y social contenía un nutrido número de ítems emocionales con los que hemos diseñado, construido y validado el Índice de Bienestar Socioemocional (IBSE). Este índice es un indicador compuesto basado en el conjunto de las nueve respuestas que cada entrevistado ofrece cuando se le pregunta con qué frecuencia, en las dos últimas semanas, se ha sentido triste, deprimido/a, solo/a, feliz, disfrutando de la vida, orgulloso/a de sí mismo, optimista, con mucha energía o vitalidad y, por último, tranquilo/a o calmado/a. El diseño de este índice de bienestar emocional está inspirado en el trabajo pionero que Norman M. Bradburn publicó en 1969 con el título de The Structure of Psychological Well-Being (La estructura del bienestar psicológico). Dos teorías sociológicas, la teoría sociorrelacional de las emociones, de Theodore D. Kemper, y la teoría de las cadenas de rituales de interacción, de Randall Collins, junto con las obras de otros pioneros de la sociología de las emociones, como la de Thomas J. Scheff, o la de Arlie Russel Hochschild, han fundamentado la definición conceptual que hemos utilizado para medir el bienestar emocional. Los inestimables trabajos de los dos más destacados investigadores del bienestar subjetivo, Ed Diener, psicólogo, y Ruut Veenhoven, sociólogo, que han estado aplicando y analizando durante más de tres décadas las escalas de satisfacción con la vida y las escalas de felicidad, me convencieron de que el estudio científico del bienestar emocional era posible, y también de que era necesario encontrar un nuevo modelo multivariable, más preciso y rico, para medir la felicidad. Por último, la visión hedonista y pragmática que Demócrito tenía del “bien</w:t>
      </w:r>
      <w:r w:rsidRPr="005D529F">
        <w:rPr>
          <w:rFonts w:cs="Times New Roman"/>
        </w:rPr>
        <w:noBreakHyphen/>
        <w:t>estar”, y que al parecer expuso al completo en un libro titulado Sobre el buen ánimo, libro de ética definitivamente perdido y del que apenas se conservan algunos fragmentos, es la misma visión que hemos incorporado en nuestro Índice de Bienestar Socioemocional.</w:t>
      </w:r>
    </w:p>
    <w:p w14:paraId="65F83233" w14:textId="77777777" w:rsidR="0000205E" w:rsidRDefault="006A2852" w:rsidP="005D529F">
      <w:pPr>
        <w:rPr>
          <w:rFonts w:cs="Times New Roman"/>
        </w:rPr>
      </w:pPr>
      <w:r w:rsidRPr="005D529F">
        <w:rPr>
          <w:rFonts w:cs="Times New Roman"/>
        </w:rPr>
        <w:t xml:space="preserve">Utilizando este índice, así como el resto de las informaciones incluidas en los cuestionarios de las dos oleadas de la Encuesta Social Europea, hemos analizado la estratificación social de la felicidad en España, esto es, hemos investigado si la felicidad es un fenómeno puramente individual, que depende exclusivamente del carácter, las actitudes y la personalidad de los individuos o si, por el contrario, las felicidad de los españoles y de los europeos también depende de la posición que ocupan en la estructura social y, por tanto, de las condiciones sociales que caracterizan su situación de vida. Nos hemos preguntado qué españoles viven felices y contentos y, sobre todo, nos hemos </w:t>
      </w:r>
      <w:r w:rsidRPr="005D529F">
        <w:rPr>
          <w:rFonts w:cs="Times New Roman"/>
        </w:rPr>
        <w:lastRenderedPageBreak/>
        <w:t>preguntado qué españoles, en función de los rasgos que caracterizan sus condiciones de existencia, parecen estar en gran parte condenados al sufrimiento y a la infelicidad.</w:t>
      </w:r>
    </w:p>
    <w:p w14:paraId="175D4C13" w14:textId="77777777" w:rsidR="0000205E" w:rsidRDefault="006A2852" w:rsidP="005D529F">
      <w:pPr>
        <w:rPr>
          <w:rFonts w:cs="Times New Roman"/>
        </w:rPr>
      </w:pPr>
      <w:r w:rsidRPr="005D529F">
        <w:rPr>
          <w:rFonts w:cs="Times New Roman"/>
        </w:rPr>
        <w:t>¿Cuál es el nivel de felicidad de una persona desempleada o el de una persona que tiene miedo a perder su empleo? ¿Son los hombres más felices que las mujeres? ¿Se acostumbran los enfermos crónicos y los discapacitados permanentes a su situación llegando con el tiempo a ser tan felices como los demás? ¿Cómo afecta la soledad al bienestar emocional de las personas mayores? ¿Vuelven las personas divorciadas a recuperar su nivel de felicidad previo al momento de la separación o del divorcio? ¿Son los inmigrantes menos felices que los autóctonos? ¿Pueden ser felices las personas si sienten que los demás les tratan con poco respeto o injustamente? ¿En qué medida la muerte del cónyuge reduce la felicidad de las personas viudas? ¿El dinero da la felicidad? ¿Qué nivel de felicidad tienen los excluidos sociales que viven en la pobreza, sea relativa, sea absoluta? ¿Cómo está afectado la crisis económica al bienestar emocional de los españoles cuyo hogar atraviesa por dificultades o por muchas dificultades financieras? ¿Todos los jóvenes son igualmente felices? ¿Son infelices los “ninis”?</w:t>
      </w:r>
    </w:p>
    <w:p w14:paraId="563A7E17" w14:textId="4A5CFA5D" w:rsidR="006A2852" w:rsidRPr="005D529F" w:rsidRDefault="006A2852" w:rsidP="005D529F">
      <w:pPr>
        <w:rPr>
          <w:rFonts w:cs="Times New Roman"/>
        </w:rPr>
      </w:pPr>
      <w:r w:rsidRPr="005D529F">
        <w:rPr>
          <w:rFonts w:cs="Times New Roman"/>
        </w:rPr>
        <w:t>Respondiendo a estas y a otras muchas preguntas sobre la felicidad de los demás, es decir, analizando el grado de bienestar emocional de las personas según los rasgos que caracterizan su situación de vida, así como comparando en cada caso los niveles de felicidad que tiene los españoles con el de los europeos que viven en condiciones o circunstancias similares, el libro ofrece infinidad de oportunidades para reflexionar sobre la felicidad, sobre cómo se distribuye socialmente la felicidad, y sobre la desigualdad emocional existente en cualquier país. También permite visibilizar y tomar clara conciencia del malestar emocional asumido como normal en el seno de nuestras sociedades, así como fomentar el reconocimiento y el respeto social de las personas que sufren. En último lugar, aunque no por ello menos importante, puede ayudarnos a comprender, a través del privilegiado punto de vista que nos ofrece el conocimiento del bienestar y del malestar emocional de los demás, nuestra propia felicidad e infelicidad.</w:t>
      </w:r>
    </w:p>
    <w:p w14:paraId="6240EF2C" w14:textId="24520C1B" w:rsidR="00FD1583" w:rsidRPr="0086368F" w:rsidRDefault="006A2852" w:rsidP="0086368F">
      <w:pPr>
        <w:rPr>
          <w:rFonts w:cs="Times New Roman"/>
        </w:rPr>
      </w:pPr>
      <w:r w:rsidRPr="005D529F">
        <w:rPr>
          <w:rFonts w:cs="Times New Roman"/>
        </w:rPr>
        <w:t xml:space="preserve">Frente a la opción de ofrecer al lector más reflexiones para ayudarle a ser feliz, este libro le ofrece la oportunidad de pensar la felicidad “con”, “contra” o “a partir de” los datos del nivel de bienestar emocional que experimentan las personas en muy diferentes situaciones y condiciones de vida. Este pensar con y desde los datos, que denomino pensamiento inductivo teorético o simplemente inducción teorética, obliga a incorporar en las páginas del libro aquellas informaciones empíricas que le permitan al lector hilvanar sus propias reflexiones, independientemente y más allá de las argumentaciones incluidas en el texto por el propio autor. Por respeto a la autonomía intelectual del lector, el libro incluye las tablas con las que podrá reflexionar y argumentar autónomamente acerca de la felicidad. Ahora bien, con el fin de entorpecer lo más mínimo la lectura de quienes prefieran seguir exclusivamente en el texto el hilo argumental de la obra, el formato de las tablas se ha reducido a la mínima expresión posible. En este caso, si así lo desea, el lector podrá seguir perfectamente el hilo de estas argumentaciones sin apenas reparar en los datos contenidos en las tablas. Sin embargo, no conviene olvidar nunca </w:t>
      </w:r>
      <w:r w:rsidRPr="005D529F">
        <w:rPr>
          <w:rFonts w:cs="Times New Roman"/>
        </w:rPr>
        <w:lastRenderedPageBreak/>
        <w:t>que, como sucede en los prospectos de los medicamentos</w:t>
      </w:r>
      <w:r w:rsidRPr="005D529F">
        <w:rPr>
          <w:rFonts w:cs="Times New Roman"/>
          <w:color w:val="FF0000"/>
        </w:rPr>
        <w:t xml:space="preserve"> </w:t>
      </w:r>
      <w:r w:rsidRPr="005D529F">
        <w:rPr>
          <w:rFonts w:cs="Times New Roman"/>
        </w:rPr>
        <w:t>o en los contratos civiles, la letra pequeña reúne muchas veces la información más relevante.</w:t>
      </w:r>
    </w:p>
    <w:p w14:paraId="0CCA8043" w14:textId="77777777" w:rsidR="0000205E" w:rsidRDefault="006A2852" w:rsidP="00753577">
      <w:pPr>
        <w:pStyle w:val="Ttulo3"/>
      </w:pPr>
      <w:bookmarkStart w:id="10" w:name="_Toc311991776"/>
      <w:bookmarkStart w:id="11" w:name="_Toc311993005"/>
      <w:r w:rsidRPr="005D529F">
        <w:t>Contenido</w:t>
      </w:r>
      <w:bookmarkEnd w:id="10"/>
      <w:bookmarkEnd w:id="11"/>
    </w:p>
    <w:p w14:paraId="5FAA7932" w14:textId="77777777" w:rsidR="0000205E" w:rsidRDefault="006A2852" w:rsidP="005D529F">
      <w:pPr>
        <w:rPr>
          <w:rFonts w:cs="Times New Roman"/>
        </w:rPr>
      </w:pPr>
      <w:r w:rsidRPr="005D529F">
        <w:rPr>
          <w:rFonts w:cs="Times New Roman"/>
        </w:rPr>
        <w:t>El presente libro consta de ocho capítulos. En el primero, Sobre la felicidad, se exponen las ideas de la felicidad de algunos filósofos, distinguiendo fundamentalmente entre diversas concepciones hedonistas y eudamonistas. En el segundo, La medida del bienestar subjetivo, tras preguntarnos si se puede medir la felicidad, se exponen las teorías sociológicas de la emociones de Kemper y de Collins, facilitando así la comprensión tanto la definición conceptual del bienestar emocional, como las cuatro dimensiones de la felicidad que configuran el modelo de medida del Índice de Bienestar Socioemocional (IBSE). En el tercer capítulo, El bienestar emocional en la sociedad española, el lector podrá conocer las respuestas ofrecidas por los españoles, en 2006 y 2012, a cada una de las preguntas que se les hicieron sobre los nueve estados emocionales que forman la estructura afectiva que fundamenta la meta-emoción de la felicidad. En el cuarto, titulado Excluidos de la felicidad, se contrapone, con cálculos cuantitativos precisos, la distribución social de los ingresos económicos y la distribución social de la felicidad en España. Además, mediante una tipología elaborada al efecto, se cuantifica el número de españoles viven felices, contentos, satisfechos, insatisfechos e infelices.</w:t>
      </w:r>
    </w:p>
    <w:p w14:paraId="4C550D77" w14:textId="77777777" w:rsidR="0086368F" w:rsidRDefault="006A2852" w:rsidP="005D529F">
      <w:pPr>
        <w:rPr>
          <w:rFonts w:cs="Times New Roman"/>
        </w:rPr>
      </w:pPr>
      <w:r w:rsidRPr="005D529F">
        <w:rPr>
          <w:rFonts w:cs="Times New Roman"/>
        </w:rPr>
        <w:t xml:space="preserve">En el quinto capítulo, Catástrofes personales, se analiza el bienestar emocional de las personas con enfermedad crónica o discapacidad; de las personas desempleadas; y de las personas divorciadas y viudas. También se comprueba si el desplome de la felicidad que acarrean este tipo de catástrofes o acontecimientos vitales desaparece con el tiempo debido a los procesos de adaptación. En el sexto, Exclusiones sociales I. El respeto, se ofrece el esbozo de una teoría sociológica de la infelicidad, y se estudia la falta de respeto como causa del malestar emocional en las personas sin hogar; en las personas discriminadas socialmente; y en los inmigrantes. En el séptimo, Exclusiones sociales II. La pobreza, teniendo en cuenta los resultados de investigaciones precedentes, así como nuestros propios resultados, se cuestiona la relación entre el dinero y la felicidad. Dado que la pobreza no es mera carencia de recursos económicos, también se ofrecen datos del nivel de felicidad de los españoles según cuál sea su posición en la estructura social. Además, también se ofrecen datos del impacto emocional que la crisis de 2008 está teniendo sobre los españoles. En el octavo y último capítulo, La desigualdad emocional de género y de edad, se analiza si existen asimetrías emocionales de género en el trabajo, en la convivencia en pareja y en la educación. También se estudia el bienestar emocional de los españoles de diferente edad, y se detalla tanto la felicidad de las personas mayores según cual sea su estado de salud y su grado de soledad, como la felicidad de los jóvenes estudiantes, trabajadores y ninis. Se comprueba si es cierto que todos los jóvenes son igualmente felices, con independencia de sus circunstancias y condiciones de vida. El </w:t>
      </w:r>
      <w:r w:rsidRPr="005D529F">
        <w:rPr>
          <w:rFonts w:cs="Times New Roman"/>
        </w:rPr>
        <w:lastRenderedPageBreak/>
        <w:t>libro se cierra con un epílogo que incluye sucintas conclusiones y brevísimos comentarios sobre la futura investigación social de la felicidad.</w:t>
      </w:r>
    </w:p>
    <w:p w14:paraId="4D877F03" w14:textId="77777777" w:rsidR="005D79E7" w:rsidRDefault="005D79E7" w:rsidP="005D529F">
      <w:pPr>
        <w:rPr>
          <w:rFonts w:cs="Times New Roman"/>
        </w:rPr>
      </w:pPr>
    </w:p>
    <w:p w14:paraId="7E55F79E" w14:textId="75F262E5" w:rsidR="00AE5129" w:rsidRDefault="006A2852" w:rsidP="005D529F">
      <w:pPr>
        <w:rPr>
          <w:rFonts w:cs="Times New Roman"/>
        </w:rPr>
        <w:sectPr w:rsidR="00AE5129" w:rsidSect="009A2814">
          <w:pgSz w:w="11900" w:h="16840"/>
          <w:pgMar w:top="1985" w:right="1814" w:bottom="1758" w:left="1814" w:header="709" w:footer="709" w:gutter="0"/>
          <w:pgNumType w:start="4"/>
          <w:cols w:space="708"/>
          <w:titlePg/>
          <w:docGrid w:linePitch="360"/>
        </w:sectPr>
      </w:pPr>
      <w:r w:rsidRPr="005D529F">
        <w:rPr>
          <w:rFonts w:cs="Times New Roman"/>
        </w:rPr>
        <w:t xml:space="preserve"> </w:t>
      </w:r>
    </w:p>
    <w:p w14:paraId="1FE96D19" w14:textId="6EC8F522" w:rsidR="00954D5D" w:rsidRDefault="00F47B85" w:rsidP="0086368F">
      <w:pPr>
        <w:pStyle w:val="Ttulo1"/>
      </w:pPr>
      <w:bookmarkStart w:id="12" w:name="_Toc311991777"/>
      <w:bookmarkStart w:id="13" w:name="_Toc311993006"/>
      <w:bookmarkStart w:id="14" w:name="_Toc311998413"/>
      <w:r w:rsidRPr="005D529F">
        <w:lastRenderedPageBreak/>
        <w:t xml:space="preserve">1  </w:t>
      </w:r>
      <w:r w:rsidR="00BA0D63" w:rsidRPr="005D529F">
        <w:t>Sobre la felicidad</w:t>
      </w:r>
      <w:bookmarkEnd w:id="12"/>
      <w:bookmarkEnd w:id="13"/>
      <w:bookmarkEnd w:id="14"/>
    </w:p>
    <w:p w14:paraId="5E46D4ED" w14:textId="77777777" w:rsidR="0000205E" w:rsidRDefault="00F47B85" w:rsidP="00954D5D">
      <w:pPr>
        <w:pStyle w:val="Ttulo2"/>
      </w:pPr>
      <w:bookmarkStart w:id="15" w:name="_Toc311991778"/>
      <w:bookmarkStart w:id="16" w:name="_Toc311993007"/>
      <w:r w:rsidRPr="005D529F">
        <w:t xml:space="preserve">1.1  </w:t>
      </w:r>
      <w:r w:rsidR="00BA0D63" w:rsidRPr="005D529F">
        <w:t>Yang-chu</w:t>
      </w:r>
      <w:bookmarkEnd w:id="15"/>
      <w:bookmarkEnd w:id="16"/>
    </w:p>
    <w:p w14:paraId="2A263285" w14:textId="77777777" w:rsidR="0000205E" w:rsidRDefault="000D5190" w:rsidP="005D529F">
      <w:pPr>
        <w:rPr>
          <w:rFonts w:cs="Times New Roman"/>
        </w:rPr>
      </w:pPr>
      <w:r w:rsidRPr="005D529F">
        <w:rPr>
          <w:rFonts w:cs="Times New Roman"/>
        </w:rPr>
        <w:t>Lie Tse, en el Tratado del Vacío Perfecto, cuent</w:t>
      </w:r>
      <w:r w:rsidR="00E23638" w:rsidRPr="005D529F">
        <w:rPr>
          <w:rFonts w:cs="Times New Roman"/>
        </w:rPr>
        <w:t>a una breve historia sobre Tse-c</w:t>
      </w:r>
      <w:r w:rsidRPr="005D529F">
        <w:rPr>
          <w:rFonts w:cs="Times New Roman"/>
        </w:rPr>
        <w:t xml:space="preserve">h’an, ministro del principado de Cheng, y sus dos hermanos, uno mayor, Chao, que era un borracho, y otro menor, Mu, que era un libertino. “Se olía a vino y a heces a cien pasos de la puerta de Chao, a quien la embriaguez habitual le había hecho perder todo sentido del pudor y de la prudencia. El harén de Mu formaba todo un barrio, que su propietario poblaba por todos los medios y del que apenas salía. Muy preocupado por la mala conducta de sus dos hermanos, tema de burlas para sus enemigos, </w:t>
      </w:r>
      <w:r w:rsidR="00453F1B" w:rsidRPr="005D529F">
        <w:rPr>
          <w:rFonts w:cs="Times New Roman"/>
        </w:rPr>
        <w:t xml:space="preserve">Tse-ch’an consultó en secreto a Teng-si”. Este le dijo: </w:t>
      </w:r>
      <w:r w:rsidR="00DE7820" w:rsidRPr="005D529F">
        <w:rPr>
          <w:rFonts w:cs="Times New Roman"/>
        </w:rPr>
        <w:t>—</w:t>
      </w:r>
      <w:r w:rsidR="00453F1B" w:rsidRPr="005D529F">
        <w:rPr>
          <w:rFonts w:cs="Times New Roman"/>
        </w:rPr>
        <w:t>“Tendrías que haber intervenido antes. Hazles comprender el valor de la vida, la importancia del decoro y de la moral”. Tse-ch’an hizo, pues, un discurso a sus dos hermanos sobre los puntos siguientes: que aquello por lo que el hombre difiere de los animales es la razón, los ritos y la moral; que la satisfacción de las pasiones bestiales destruye la vida y arruina la reputación; que, si se rehabilitaran, podrían recibir cargos”</w:t>
      </w:r>
    </w:p>
    <w:p w14:paraId="68CA05C9" w14:textId="77777777" w:rsidR="0000205E" w:rsidRDefault="00453F1B" w:rsidP="005D529F">
      <w:pPr>
        <w:rPr>
          <w:rFonts w:cs="Times New Roman"/>
        </w:rPr>
      </w:pPr>
      <w:r w:rsidRPr="005D529F">
        <w:rPr>
          <w:rFonts w:cs="Times New Roman"/>
        </w:rPr>
        <w:t xml:space="preserve">“Muy lejos de conmoverse con estos argumentos, Chao y Mu respondieron: </w:t>
      </w:r>
      <w:r w:rsidR="00DE7820" w:rsidRPr="005D529F">
        <w:rPr>
          <w:rFonts w:cs="Times New Roman"/>
        </w:rPr>
        <w:t>—</w:t>
      </w:r>
      <w:r w:rsidRPr="005D529F">
        <w:rPr>
          <w:rFonts w:cs="Times New Roman"/>
        </w:rPr>
        <w:t xml:space="preserve"> Hace mucho tiempo que sabemos todo eso; hace mucho tiempo también que nuestra decisión es no tenerlo en cuenta para nada. Como la muerte lo termina todo fatalmente, lo importante, en nuestra opinión, es gozar de la vida. No estamos en absoluto dispuestos a hacer de la vida una especie de muerte anticipada por las obligaciones rituales, morales y otras. Satisfacer los instintos</w:t>
      </w:r>
      <w:r w:rsidR="0067125D" w:rsidRPr="005D529F">
        <w:rPr>
          <w:rFonts w:cs="Times New Roman"/>
        </w:rPr>
        <w:t>, agotar todos los placeres, eso es lo que es verdade</w:t>
      </w:r>
      <w:r w:rsidR="00DE7820" w:rsidRPr="005D529F">
        <w:rPr>
          <w:rFonts w:cs="Times New Roman"/>
        </w:rPr>
        <w:t>ramente vivir. Lamentamos tan só</w:t>
      </w:r>
      <w:r w:rsidR="0067125D" w:rsidRPr="005D529F">
        <w:rPr>
          <w:rFonts w:cs="Times New Roman"/>
        </w:rPr>
        <w:t xml:space="preserve">lo que </w:t>
      </w:r>
      <w:r w:rsidR="00DE7820" w:rsidRPr="005D529F">
        <w:rPr>
          <w:rFonts w:cs="Times New Roman"/>
        </w:rPr>
        <w:t>la capacidad de nuestro vientre</w:t>
      </w:r>
      <w:r w:rsidR="0067125D" w:rsidRPr="005D529F">
        <w:rPr>
          <w:rFonts w:cs="Times New Roman"/>
        </w:rPr>
        <w:t xml:space="preserve"> sea inferior a nuestro apetito y que las fuerzas de nuestro cuerpo no estén a la altura de nuestras ansias. Qué nos importa que los hombre</w:t>
      </w:r>
      <w:r w:rsidR="00DE7820" w:rsidRPr="005D529F">
        <w:rPr>
          <w:rFonts w:cs="Times New Roman"/>
        </w:rPr>
        <w:t>s hablen mal de noso</w:t>
      </w:r>
      <w:r w:rsidR="0067125D" w:rsidRPr="005D529F">
        <w:rPr>
          <w:rFonts w:cs="Times New Roman"/>
        </w:rPr>
        <w:t>tros y que nuestras vidas</w:t>
      </w:r>
      <w:r w:rsidR="00DE7820" w:rsidRPr="005D529F">
        <w:rPr>
          <w:rFonts w:cs="Times New Roman"/>
        </w:rPr>
        <w:t xml:space="preserve"> se deterioren. No creas que so</w:t>
      </w:r>
      <w:r w:rsidR="0067125D" w:rsidRPr="005D529F">
        <w:rPr>
          <w:rFonts w:cs="Times New Roman"/>
        </w:rPr>
        <w:t>mo</w:t>
      </w:r>
      <w:r w:rsidR="003079DB" w:rsidRPr="005D529F">
        <w:rPr>
          <w:rFonts w:cs="Times New Roman"/>
        </w:rPr>
        <w:t>s hombres que se dejen intimidar</w:t>
      </w:r>
      <w:r w:rsidR="0067125D" w:rsidRPr="005D529F">
        <w:rPr>
          <w:rFonts w:cs="Times New Roman"/>
        </w:rPr>
        <w:t xml:space="preserve"> o comprar. Tenemos unos gustos completamente distintos a los tuyos. Tú reglamentas el exterior y haces sufrir a los hombres, cuyas inclinaciones interiores se encuentran así comprimidas. Nosotros</w:t>
      </w:r>
      <w:r w:rsidR="00DE7820" w:rsidRPr="005D529F">
        <w:rPr>
          <w:rFonts w:cs="Times New Roman"/>
        </w:rPr>
        <w:t xml:space="preserve"> </w:t>
      </w:r>
      <w:r w:rsidR="0067125D" w:rsidRPr="005D529F">
        <w:rPr>
          <w:rFonts w:cs="Times New Roman"/>
        </w:rPr>
        <w:t xml:space="preserve">damos </w:t>
      </w:r>
      <w:r w:rsidR="00DE7820" w:rsidRPr="005D529F">
        <w:rPr>
          <w:rFonts w:cs="Times New Roman"/>
        </w:rPr>
        <w:t>rienda suelta a todos los insti</w:t>
      </w:r>
      <w:r w:rsidR="0067125D" w:rsidRPr="005D529F">
        <w:rPr>
          <w:rFonts w:cs="Times New Roman"/>
        </w:rPr>
        <w:t>ntos, cosa que hace felices a los hombres”</w:t>
      </w:r>
      <w:r w:rsidR="009A24C4" w:rsidRPr="005D529F">
        <w:rPr>
          <w:rFonts w:cs="Times New Roman"/>
        </w:rPr>
        <w:t>.</w:t>
      </w:r>
    </w:p>
    <w:p w14:paraId="02FFA20E" w14:textId="77777777" w:rsidR="0000205E" w:rsidRDefault="009A24C4" w:rsidP="005D529F">
      <w:pPr>
        <w:rPr>
          <w:rFonts w:cs="Times New Roman"/>
        </w:rPr>
      </w:pPr>
      <w:r w:rsidRPr="005D529F">
        <w:rPr>
          <w:rFonts w:cs="Times New Roman"/>
        </w:rPr>
        <w:t xml:space="preserve">“Completamente atónito, Tse-ch’an no supo qué responder. Volvió a consultar a Teng-si, que le dijo: </w:t>
      </w:r>
      <w:r w:rsidR="00DE7820" w:rsidRPr="005D529F">
        <w:rPr>
          <w:rFonts w:cs="Times New Roman"/>
        </w:rPr>
        <w:t>—</w:t>
      </w:r>
      <w:r w:rsidRPr="005D529F">
        <w:rPr>
          <w:rFonts w:cs="Times New Roman"/>
        </w:rPr>
        <w:t>Te equivocas al no comprender que tus</w:t>
      </w:r>
      <w:r w:rsidR="003B7EB0" w:rsidRPr="005D529F">
        <w:rPr>
          <w:rFonts w:cs="Times New Roman"/>
        </w:rPr>
        <w:t xml:space="preserve"> hermanos ven más claro que tú </w:t>
      </w:r>
      <w:r w:rsidR="00B27FCD" w:rsidRPr="005D529F">
        <w:rPr>
          <w:rFonts w:cs="Times New Roman"/>
        </w:rPr>
        <w:t>(Lie Tse, 2006:160-163).</w:t>
      </w:r>
      <w:r w:rsidR="0056738A" w:rsidRPr="005D529F">
        <w:rPr>
          <w:rFonts w:cs="Times New Roman"/>
        </w:rPr>
        <w:t xml:space="preserve"> </w:t>
      </w:r>
    </w:p>
    <w:p w14:paraId="129F7092" w14:textId="77777777" w:rsidR="0000205E" w:rsidRDefault="006905A9" w:rsidP="005D529F">
      <w:pPr>
        <w:rPr>
          <w:rFonts w:cs="Times New Roman"/>
        </w:rPr>
      </w:pPr>
      <w:r w:rsidRPr="005D529F">
        <w:rPr>
          <w:rFonts w:cs="Times New Roman"/>
        </w:rPr>
        <w:t>Esta pequeña historia es</w:t>
      </w:r>
      <w:r w:rsidR="0063493A" w:rsidRPr="005D529F">
        <w:rPr>
          <w:rFonts w:cs="Times New Roman"/>
        </w:rPr>
        <w:t xml:space="preserve">tá incluida en el capítulo 7, que </w:t>
      </w:r>
      <w:r w:rsidRPr="005D529F">
        <w:rPr>
          <w:rFonts w:cs="Times New Roman"/>
        </w:rPr>
        <w:t xml:space="preserve">Lie Tse </w:t>
      </w:r>
      <w:r w:rsidR="0063493A" w:rsidRPr="005D529F">
        <w:rPr>
          <w:rFonts w:cs="Times New Roman"/>
        </w:rPr>
        <w:t>dedica enteramente</w:t>
      </w:r>
      <w:r w:rsidR="007552F9" w:rsidRPr="005D529F">
        <w:rPr>
          <w:rFonts w:cs="Times New Roman"/>
        </w:rPr>
        <w:t xml:space="preserve"> a Yang-c</w:t>
      </w:r>
      <w:r w:rsidRPr="005D529F">
        <w:rPr>
          <w:rFonts w:cs="Times New Roman"/>
        </w:rPr>
        <w:t>hu, filósofo chino hedonista, pesimista y egoísta.</w:t>
      </w:r>
      <w:r w:rsidR="007552F9" w:rsidRPr="005D529F">
        <w:rPr>
          <w:rFonts w:cs="Times New Roman"/>
        </w:rPr>
        <w:t xml:space="preserve"> Yang-c</w:t>
      </w:r>
      <w:r w:rsidR="00924B64" w:rsidRPr="005D529F">
        <w:rPr>
          <w:rFonts w:cs="Times New Roman"/>
        </w:rPr>
        <w:t>hu dijo: “—Pues esto: vivir alegre, tratar bien al cuerpo, eso es lo que hay que hacer”;  “</w:t>
      </w:r>
      <w:r w:rsidR="006A333D" w:rsidRPr="005D529F">
        <w:rPr>
          <w:rFonts w:cs="Times New Roman"/>
        </w:rPr>
        <w:t>—</w:t>
      </w:r>
      <w:r w:rsidR="00924B64" w:rsidRPr="005D529F">
        <w:rPr>
          <w:rFonts w:cs="Times New Roman"/>
        </w:rPr>
        <w:t xml:space="preserve">Cuatro deseos agitan a los hombres, hasta el punto de no darles un respiro, a saber: el deseo de la longevidad, el de la reputación, el de la dignidad y el de la riqueza. Los que han obtenido esas cosas, </w:t>
      </w:r>
      <w:r w:rsidR="00924B64" w:rsidRPr="005D529F">
        <w:rPr>
          <w:rFonts w:cs="Times New Roman"/>
        </w:rPr>
        <w:lastRenderedPageBreak/>
        <w:t>temiendo que se las quiten, tienen miedo de los muertos, de los vivos, de los p</w:t>
      </w:r>
      <w:r w:rsidR="006A333D" w:rsidRPr="005D529F">
        <w:rPr>
          <w:rFonts w:cs="Times New Roman"/>
        </w:rPr>
        <w:t>ríncipes, de los suplicios”; “—</w:t>
      </w:r>
      <w:r w:rsidR="00924B64" w:rsidRPr="005D529F">
        <w:rPr>
          <w:rFonts w:cs="Times New Roman"/>
        </w:rPr>
        <w:t>La naturaleza está satisfecha cuando tiene todo lo necesario; todas las necesidades que van más allá son redundancia, civilización artificial”. El pesimismo de Yan</w:t>
      </w:r>
      <w:r w:rsidR="007552F9" w:rsidRPr="005D529F">
        <w:rPr>
          <w:rFonts w:cs="Times New Roman"/>
        </w:rPr>
        <w:t>g-c</w:t>
      </w:r>
      <w:r w:rsidR="006A333D" w:rsidRPr="005D529F">
        <w:rPr>
          <w:rFonts w:cs="Times New Roman"/>
        </w:rPr>
        <w:t>hu fundamenta su llamada al placer: “—De mil hombres, ni uno vive hasta los cien años. Pero supongamos que, entre mil, hay un centenario. Una gran parte de su vida habrá transcurrido en la impotencia de la primera infancia y la decrepitud de la extrema vejez. Una gran parte habrá estado consumida por el sueño de la noche y por las distracciones del día. Una gran parte habrá estado esterilizada por la tristeza o el temor. Queda una fracción relativamente muy débil para la acción y el goce”</w:t>
      </w:r>
      <w:r w:rsidR="001E0714" w:rsidRPr="005D529F">
        <w:rPr>
          <w:rFonts w:cs="Times New Roman"/>
        </w:rPr>
        <w:t xml:space="preserve"> “¿Hay motivo, para renunciar, por tan poco, al placer de los ojos y los oídos, para aplicar el freno moral en el exterior y el interior? Pasar la vida así, en la privación y el constreñimiento, ¿es menos duro que pasarla en prisión y en cautiverio?”. “Hay que soportar la vida mientras dure, ingeniándoselas para procurarse todas las satisfacciones posibles”.</w:t>
      </w:r>
    </w:p>
    <w:p w14:paraId="72C19C4F" w14:textId="13AB0E58" w:rsidR="008B69BB" w:rsidRPr="0086368F" w:rsidRDefault="007552F9" w:rsidP="0086368F">
      <w:pPr>
        <w:rPr>
          <w:rFonts w:cs="Times New Roman"/>
        </w:rPr>
      </w:pPr>
      <w:r w:rsidRPr="005D529F">
        <w:rPr>
          <w:rFonts w:cs="Times New Roman"/>
        </w:rPr>
        <w:t>El egoísmo de Yang-chu es acorde con la primacía del cuerpo, de la naturaleza interior y de las emociones: “—Y tú —preguntó K’inn-ku-li a Yang-chu—, ¿sacrificarías un pelo de tu cuerpo por el bien del Estado? Un pelo —dijo Yang-chu— no le sería de gran provecho. Un pelo es una parte del cuerpo, y por lo tanto es algo muy valioso</w:t>
      </w:r>
      <w:r w:rsidR="00843237" w:rsidRPr="005D529F">
        <w:rPr>
          <w:rFonts w:cs="Times New Roman"/>
        </w:rPr>
        <w:t>”</w:t>
      </w:r>
      <w:r w:rsidRPr="005D529F">
        <w:rPr>
          <w:rFonts w:cs="Times New Roman"/>
        </w:rPr>
        <w:t>.</w:t>
      </w:r>
      <w:r w:rsidR="00843237" w:rsidRPr="005D529F">
        <w:rPr>
          <w:rFonts w:cs="Times New Roman"/>
        </w:rPr>
        <w:t xml:space="preserve"> “El que fraterniza con los hombres y los seres dejando que cada uno busque su bien natural, éste es un superhombre, el más </w:t>
      </w:r>
      <w:r w:rsidR="00924E0A" w:rsidRPr="005D529F">
        <w:rPr>
          <w:rFonts w:cs="Times New Roman"/>
        </w:rPr>
        <w:t>superior de todos los hombres”.</w:t>
      </w:r>
      <w:r w:rsidR="006401B3" w:rsidRPr="005D529F">
        <w:rPr>
          <w:rFonts w:cs="Times New Roman"/>
        </w:rPr>
        <w:t xml:space="preserve"> Yang-chu compara la vida de cuatro sabios,  Shunn, U, Cheu-kung y Confucio, de los que sólo se habla bien, pero “que no tuvieron durante su vida ni un solo día de verdadero contento”, con la de dos emperadores, Kie y Cheu. “Kie, rico, poderoso, sabio, temido, gozó de todos los placeres, satisfizo todos sus apetitos, fue glorioso hasta su muerte y tuvo todo cuanto desean los hombres que viven según su naturaleza”. “Estos dos hombre tuvieron durante su vida todo cuanto quisieron. Ahora, es cierto, les laman necios, malos y tiranos; pero esto ¿qué puede importarles? No se enteran de ello más que un leño o una mota de tierra”</w:t>
      </w:r>
      <w:r w:rsidR="00FB7421" w:rsidRPr="005D529F">
        <w:rPr>
          <w:rFonts w:cs="Times New Roman"/>
        </w:rPr>
        <w:t xml:space="preserve"> (Lie-Tse, 2006:</w:t>
      </w:r>
      <w:r w:rsidR="00E70C34" w:rsidRPr="005D529F">
        <w:rPr>
          <w:rFonts w:cs="Times New Roman"/>
        </w:rPr>
        <w:t xml:space="preserve"> 154-177).</w:t>
      </w:r>
    </w:p>
    <w:p w14:paraId="7EFC5450" w14:textId="77777777" w:rsidR="0000205E" w:rsidRDefault="00016317" w:rsidP="008B69BB">
      <w:pPr>
        <w:pStyle w:val="Ttulo2"/>
      </w:pPr>
      <w:bookmarkStart w:id="17" w:name="_Toc311991779"/>
      <w:bookmarkStart w:id="18" w:name="_Toc311993008"/>
      <w:r w:rsidRPr="005D529F">
        <w:t>1.</w:t>
      </w:r>
      <w:r w:rsidR="00306291" w:rsidRPr="005D529F">
        <w:t xml:space="preserve">2 </w:t>
      </w:r>
      <w:r w:rsidR="00142A0B" w:rsidRPr="005D529F">
        <w:t xml:space="preserve"> </w:t>
      </w:r>
      <w:r w:rsidR="0018466A" w:rsidRPr="005D529F">
        <w:t>Epicuro</w:t>
      </w:r>
      <w:bookmarkEnd w:id="17"/>
      <w:bookmarkEnd w:id="18"/>
    </w:p>
    <w:p w14:paraId="551CA561" w14:textId="77777777" w:rsidR="0000205E" w:rsidRDefault="001B4178" w:rsidP="005D529F">
      <w:pPr>
        <w:rPr>
          <w:rFonts w:cs="Times New Roman"/>
        </w:rPr>
      </w:pPr>
      <w:r w:rsidRPr="005D529F">
        <w:rPr>
          <w:rFonts w:cs="Times New Roman"/>
        </w:rPr>
        <w:t>Epicuro</w:t>
      </w:r>
      <w:r w:rsidR="0008204D" w:rsidRPr="005D529F">
        <w:rPr>
          <w:rFonts w:cs="Times New Roman"/>
        </w:rPr>
        <w:t xml:space="preserve"> nació en Samos en el 341 a.</w:t>
      </w:r>
      <w:r w:rsidR="005B33A1" w:rsidRPr="005D529F">
        <w:rPr>
          <w:rFonts w:cs="Times New Roman"/>
        </w:rPr>
        <w:t xml:space="preserve"> C</w:t>
      </w:r>
      <w:r w:rsidR="0008204D" w:rsidRPr="005D529F">
        <w:rPr>
          <w:rFonts w:cs="Times New Roman"/>
        </w:rPr>
        <w:t>.. A</w:t>
      </w:r>
      <w:r w:rsidRPr="005D529F">
        <w:rPr>
          <w:rFonts w:cs="Times New Roman"/>
        </w:rPr>
        <w:t xml:space="preserve"> los catorce años se trasladó </w:t>
      </w:r>
      <w:r w:rsidR="0008204D" w:rsidRPr="005D529F">
        <w:rPr>
          <w:rFonts w:cs="Times New Roman"/>
        </w:rPr>
        <w:t xml:space="preserve">a </w:t>
      </w:r>
      <w:r w:rsidRPr="005D529F">
        <w:rPr>
          <w:rFonts w:cs="Times New Roman"/>
        </w:rPr>
        <w:t xml:space="preserve">Teos para escuchar las lecciones </w:t>
      </w:r>
      <w:r w:rsidR="0008204D" w:rsidRPr="005D529F">
        <w:rPr>
          <w:rFonts w:cs="Times New Roman"/>
        </w:rPr>
        <w:t>d</w:t>
      </w:r>
      <w:r w:rsidR="006600A8" w:rsidRPr="005D529F">
        <w:rPr>
          <w:rFonts w:cs="Times New Roman"/>
        </w:rPr>
        <w:t>e Nausí</w:t>
      </w:r>
      <w:r w:rsidRPr="005D529F">
        <w:rPr>
          <w:rFonts w:cs="Times New Roman"/>
        </w:rPr>
        <w:t xml:space="preserve">fanes, </w:t>
      </w:r>
      <w:r w:rsidR="0008204D" w:rsidRPr="005D529F">
        <w:rPr>
          <w:rFonts w:cs="Times New Roman"/>
        </w:rPr>
        <w:t xml:space="preserve">discípulo de Demócrito, </w:t>
      </w:r>
      <w:r w:rsidR="00512092" w:rsidRPr="005D529F">
        <w:rPr>
          <w:rFonts w:cs="Times New Roman"/>
        </w:rPr>
        <w:t xml:space="preserve">quién exponía </w:t>
      </w:r>
      <w:r w:rsidR="004F7887" w:rsidRPr="005D529F">
        <w:rPr>
          <w:rFonts w:cs="Times New Roman"/>
        </w:rPr>
        <w:t>una doctrina similar</w:t>
      </w:r>
      <w:r w:rsidR="00512092" w:rsidRPr="005D529F">
        <w:rPr>
          <w:rFonts w:cs="Times New Roman"/>
        </w:rPr>
        <w:t xml:space="preserve"> a la de su maestro. A</w:t>
      </w:r>
      <w:r w:rsidR="0008204D" w:rsidRPr="005D529F">
        <w:rPr>
          <w:rFonts w:cs="Times New Roman"/>
        </w:rPr>
        <w:t xml:space="preserve"> los treinta y cinco se estableció en Atenas</w:t>
      </w:r>
      <w:r w:rsidR="004F7887" w:rsidRPr="005D529F">
        <w:rPr>
          <w:rFonts w:cs="Times New Roman"/>
        </w:rPr>
        <w:t>,</w:t>
      </w:r>
      <w:r w:rsidR="0008204D" w:rsidRPr="005D529F">
        <w:rPr>
          <w:rFonts w:cs="Times New Roman"/>
        </w:rPr>
        <w:t xml:space="preserve"> fundando una escuela conocida como el </w:t>
      </w:r>
      <w:r w:rsidR="00512092" w:rsidRPr="005D529F">
        <w:rPr>
          <w:rFonts w:cs="Times New Roman"/>
        </w:rPr>
        <w:t>“</w:t>
      </w:r>
      <w:r w:rsidR="0008204D" w:rsidRPr="005D529F">
        <w:rPr>
          <w:rFonts w:cs="Times New Roman"/>
        </w:rPr>
        <w:t>Jardín</w:t>
      </w:r>
      <w:r w:rsidR="00512092" w:rsidRPr="005D529F">
        <w:rPr>
          <w:rFonts w:cs="Times New Roman"/>
        </w:rPr>
        <w:t>”</w:t>
      </w:r>
      <w:r w:rsidR="0008204D" w:rsidRPr="005D529F">
        <w:rPr>
          <w:rFonts w:cs="Times New Roman"/>
        </w:rPr>
        <w:t>. A diferencia de</w:t>
      </w:r>
      <w:r w:rsidR="004F7887" w:rsidRPr="005D529F">
        <w:rPr>
          <w:rFonts w:cs="Times New Roman"/>
        </w:rPr>
        <w:t xml:space="preserve"> la Academia de Platón o del Liceo de Aristóteles, </w:t>
      </w:r>
      <w:r w:rsidR="0008204D" w:rsidRPr="005D529F">
        <w:rPr>
          <w:rFonts w:cs="Times New Roman"/>
        </w:rPr>
        <w:t xml:space="preserve">allí se celebraban encuentros </w:t>
      </w:r>
      <w:r w:rsidR="004F7887" w:rsidRPr="005D529F">
        <w:rPr>
          <w:rFonts w:cs="Times New Roman"/>
        </w:rPr>
        <w:t>“orientados, casi exclusivamente, a descubrir en qué consistía la felicidad desde la</w:t>
      </w:r>
      <w:r w:rsidR="00D1545E" w:rsidRPr="005D529F">
        <w:rPr>
          <w:rFonts w:cs="Times New Roman"/>
        </w:rPr>
        <w:t>s</w:t>
      </w:r>
      <w:r w:rsidR="004F7887" w:rsidRPr="005D529F">
        <w:rPr>
          <w:rFonts w:cs="Times New Roman"/>
        </w:rPr>
        <w:t xml:space="preserve"> raíces mismas sobre las que se levantaba cada vida individua</w:t>
      </w:r>
      <w:r w:rsidR="00512092" w:rsidRPr="005D529F">
        <w:rPr>
          <w:rFonts w:cs="Times New Roman"/>
        </w:rPr>
        <w:t>l</w:t>
      </w:r>
      <w:r w:rsidR="004F7887" w:rsidRPr="005D529F">
        <w:rPr>
          <w:rFonts w:cs="Times New Roman"/>
        </w:rPr>
        <w:t>”</w:t>
      </w:r>
      <w:r w:rsidR="00666FC7" w:rsidRPr="005D529F">
        <w:rPr>
          <w:rFonts w:cs="Times New Roman"/>
        </w:rPr>
        <w:t xml:space="preserve"> (Lledó, 2013:15)</w:t>
      </w:r>
      <w:r w:rsidR="004F7887" w:rsidRPr="005D529F">
        <w:rPr>
          <w:rFonts w:cs="Times New Roman"/>
        </w:rPr>
        <w:t>. También estaban orientados al cultivo de la amistad</w:t>
      </w:r>
      <w:r w:rsidR="00846E92" w:rsidRPr="005D529F">
        <w:rPr>
          <w:rFonts w:cs="Times New Roman"/>
        </w:rPr>
        <w:t xml:space="preserve"> y de la generosidad recíproca</w:t>
      </w:r>
      <w:r w:rsidR="0008204D" w:rsidRPr="005D529F">
        <w:rPr>
          <w:rFonts w:cs="Times New Roman"/>
        </w:rPr>
        <w:t>. Las doctrinas de Epicuro</w:t>
      </w:r>
      <w:r w:rsidR="006600A8" w:rsidRPr="005D529F">
        <w:rPr>
          <w:rFonts w:cs="Times New Roman"/>
        </w:rPr>
        <w:t xml:space="preserve"> </w:t>
      </w:r>
      <w:r w:rsidR="00EB2A7D" w:rsidRPr="005D529F">
        <w:rPr>
          <w:rFonts w:cs="Times New Roman"/>
        </w:rPr>
        <w:t>se asemejaban</w:t>
      </w:r>
      <w:r w:rsidR="006600A8" w:rsidRPr="005D529F">
        <w:rPr>
          <w:rFonts w:cs="Times New Roman"/>
        </w:rPr>
        <w:t xml:space="preserve"> a las de Arístipo, fundador de la </w:t>
      </w:r>
      <w:r w:rsidR="0008204D" w:rsidRPr="005D529F">
        <w:rPr>
          <w:rFonts w:cs="Times New Roman"/>
        </w:rPr>
        <w:t>escuela cirenaica</w:t>
      </w:r>
      <w:r w:rsidR="006600A8" w:rsidRPr="005D529F">
        <w:rPr>
          <w:rFonts w:cs="Times New Roman"/>
        </w:rPr>
        <w:t xml:space="preserve">, para quien la felicidad del hombre no residía en la virtud, en el bien moral o en el conocimiento, sino en el placer. </w:t>
      </w:r>
      <w:r w:rsidR="008365F3" w:rsidRPr="005D529F">
        <w:rPr>
          <w:rFonts w:cs="Times New Roman"/>
        </w:rPr>
        <w:t>En l</w:t>
      </w:r>
      <w:r w:rsidR="00141EA0" w:rsidRPr="005D529F">
        <w:rPr>
          <w:rFonts w:cs="Times New Roman"/>
        </w:rPr>
        <w:t xml:space="preserve">a carta que Epicuro escribió a Meneceo </w:t>
      </w:r>
      <w:r w:rsidR="0030443C" w:rsidRPr="005D529F">
        <w:rPr>
          <w:rFonts w:cs="Times New Roman"/>
        </w:rPr>
        <w:t>le trasmite su idea</w:t>
      </w:r>
      <w:r w:rsidR="00141EA0" w:rsidRPr="005D529F">
        <w:rPr>
          <w:rFonts w:cs="Times New Roman"/>
        </w:rPr>
        <w:t xml:space="preserve"> de la felicidad, basada en el necesario </w:t>
      </w:r>
      <w:r w:rsidR="00141EA0" w:rsidRPr="005D529F">
        <w:rPr>
          <w:rFonts w:cs="Times New Roman"/>
        </w:rPr>
        <w:lastRenderedPageBreak/>
        <w:t>reconocimiento de</w:t>
      </w:r>
      <w:r w:rsidR="00FF2994" w:rsidRPr="005D529F">
        <w:rPr>
          <w:rFonts w:cs="Times New Roman"/>
        </w:rPr>
        <w:t xml:space="preserve"> la cond</w:t>
      </w:r>
      <w:r w:rsidR="00CC638E" w:rsidRPr="005D529F">
        <w:rPr>
          <w:rFonts w:cs="Times New Roman"/>
        </w:rPr>
        <w:t xml:space="preserve">ición carnal del </w:t>
      </w:r>
      <w:r w:rsidR="0030443C" w:rsidRPr="005D529F">
        <w:rPr>
          <w:rFonts w:cs="Times New Roman"/>
        </w:rPr>
        <w:t>ser</w:t>
      </w:r>
      <w:r w:rsidR="00CC638E" w:rsidRPr="005D529F">
        <w:rPr>
          <w:rFonts w:cs="Times New Roman"/>
        </w:rPr>
        <w:t xml:space="preserve"> humano</w:t>
      </w:r>
      <w:r w:rsidR="00743D89" w:rsidRPr="005D529F">
        <w:rPr>
          <w:rFonts w:cs="Times New Roman"/>
        </w:rPr>
        <w:t xml:space="preserve"> y del </w:t>
      </w:r>
      <w:r w:rsidR="00644CA7" w:rsidRPr="005D529F">
        <w:rPr>
          <w:rFonts w:cs="Times New Roman"/>
        </w:rPr>
        <w:t>gozo sereno</w:t>
      </w:r>
      <w:r w:rsidR="00743D89" w:rsidRPr="005D529F">
        <w:rPr>
          <w:rFonts w:cs="Times New Roman"/>
        </w:rPr>
        <w:t>: “el placer es principio y culminación de la vida feliz”</w:t>
      </w:r>
      <w:r w:rsidR="00CC638E" w:rsidRPr="005D529F">
        <w:rPr>
          <w:rFonts w:cs="Times New Roman"/>
        </w:rPr>
        <w:t>.</w:t>
      </w:r>
      <w:r w:rsidR="00141EA0" w:rsidRPr="005D529F">
        <w:rPr>
          <w:rFonts w:cs="Times New Roman"/>
        </w:rPr>
        <w:t xml:space="preserve"> </w:t>
      </w:r>
      <w:r w:rsidR="0081434C" w:rsidRPr="005D529F">
        <w:rPr>
          <w:rFonts w:cs="Times New Roman"/>
        </w:rPr>
        <w:t>El filósofo c</w:t>
      </w:r>
      <w:r w:rsidR="00011A50" w:rsidRPr="005D529F">
        <w:rPr>
          <w:rFonts w:cs="Times New Roman"/>
        </w:rPr>
        <w:t xml:space="preserve">omienza la carta advirtiendo lo fundamental: “Necesario es, pues, meditar lo que procura la felicidad, si cuando está presente todo lo tenemos y, cuando nos falta, todo lo hacemos por poseerla”. Sigue </w:t>
      </w:r>
      <w:r w:rsidR="00523C9E" w:rsidRPr="005D529F">
        <w:rPr>
          <w:rFonts w:cs="Times New Roman"/>
        </w:rPr>
        <w:t>descartando</w:t>
      </w:r>
      <w:r w:rsidR="00011A50" w:rsidRPr="005D529F">
        <w:rPr>
          <w:rFonts w:cs="Times New Roman"/>
        </w:rPr>
        <w:t xml:space="preserve"> </w:t>
      </w:r>
      <w:r w:rsidR="0081434C" w:rsidRPr="005D529F">
        <w:rPr>
          <w:rFonts w:cs="Times New Roman"/>
        </w:rPr>
        <w:t>todo temor</w:t>
      </w:r>
      <w:r w:rsidR="00CC638E" w:rsidRPr="005D529F">
        <w:rPr>
          <w:rFonts w:cs="Times New Roman"/>
        </w:rPr>
        <w:t xml:space="preserve">, a </w:t>
      </w:r>
      <w:r w:rsidR="00011A50" w:rsidRPr="005D529F">
        <w:rPr>
          <w:rFonts w:cs="Times New Roman"/>
        </w:rPr>
        <w:t>l</w:t>
      </w:r>
      <w:r w:rsidR="00CC638E" w:rsidRPr="005D529F">
        <w:rPr>
          <w:rFonts w:cs="Times New Roman"/>
        </w:rPr>
        <w:t xml:space="preserve">os dioses y </w:t>
      </w:r>
      <w:r w:rsidR="00011A50" w:rsidRPr="005D529F">
        <w:rPr>
          <w:rFonts w:cs="Times New Roman"/>
        </w:rPr>
        <w:t xml:space="preserve">a </w:t>
      </w:r>
      <w:r w:rsidR="00CC638E" w:rsidRPr="005D529F">
        <w:rPr>
          <w:rFonts w:cs="Times New Roman"/>
        </w:rPr>
        <w:t xml:space="preserve">la </w:t>
      </w:r>
      <w:r w:rsidR="00011A50" w:rsidRPr="005D529F">
        <w:rPr>
          <w:rFonts w:cs="Times New Roman"/>
        </w:rPr>
        <w:t>muerte</w:t>
      </w:r>
      <w:r w:rsidR="0081434C" w:rsidRPr="005D529F">
        <w:rPr>
          <w:rFonts w:cs="Times New Roman"/>
        </w:rPr>
        <w:t>:</w:t>
      </w:r>
      <w:r w:rsidR="00CC638E" w:rsidRPr="005D529F">
        <w:rPr>
          <w:rFonts w:cs="Times New Roman"/>
        </w:rPr>
        <w:t xml:space="preserve"> </w:t>
      </w:r>
      <w:r w:rsidR="00875918" w:rsidRPr="005D529F">
        <w:rPr>
          <w:rFonts w:cs="Times New Roman"/>
        </w:rPr>
        <w:t>“Considera en primer lugar a la divinidad como un ser viviente incorruptible y feliz,</w:t>
      </w:r>
      <w:r w:rsidR="00301BEC" w:rsidRPr="005D529F">
        <w:rPr>
          <w:rFonts w:cs="Times New Roman"/>
        </w:rPr>
        <w:t xml:space="preserve"> ...</w:t>
      </w:r>
      <w:r w:rsidR="0081434C" w:rsidRPr="005D529F">
        <w:rPr>
          <w:rFonts w:cs="Times New Roman"/>
        </w:rPr>
        <w:t xml:space="preserve"> </w:t>
      </w:r>
      <w:r w:rsidR="00301BEC" w:rsidRPr="005D529F">
        <w:rPr>
          <w:rFonts w:cs="Times New Roman"/>
        </w:rPr>
        <w:t>, y nada le</w:t>
      </w:r>
      <w:r w:rsidR="00743D89" w:rsidRPr="005D529F">
        <w:rPr>
          <w:rFonts w:cs="Times New Roman"/>
        </w:rPr>
        <w:t xml:space="preserve"> atribuyas ajeno</w:t>
      </w:r>
      <w:r w:rsidR="00875918" w:rsidRPr="005D529F">
        <w:rPr>
          <w:rFonts w:cs="Times New Roman"/>
        </w:rPr>
        <w:t xml:space="preserve"> a la inmortalidad o impropio de la felicidad”; </w:t>
      </w:r>
      <w:r w:rsidR="00CC638E" w:rsidRPr="005D529F">
        <w:rPr>
          <w:rFonts w:cs="Times New Roman"/>
        </w:rPr>
        <w:t>“Nada temible hay en el vivir para quién ha comprendido realmente que nada temible hay en el no vivir”, “cuando nosotros somos, la muerte no está presente y, cuando la muerte está presente, entonces ya no somos nos</w:t>
      </w:r>
      <w:r w:rsidR="00875918" w:rsidRPr="005D529F">
        <w:rPr>
          <w:rFonts w:cs="Times New Roman"/>
        </w:rPr>
        <w:t>o</w:t>
      </w:r>
      <w:r w:rsidR="00CC638E" w:rsidRPr="005D529F">
        <w:rPr>
          <w:rFonts w:cs="Times New Roman"/>
        </w:rPr>
        <w:t>tros”</w:t>
      </w:r>
      <w:r w:rsidR="00875918" w:rsidRPr="005D529F">
        <w:rPr>
          <w:rFonts w:cs="Times New Roman"/>
        </w:rPr>
        <w:t>.</w:t>
      </w:r>
    </w:p>
    <w:p w14:paraId="1B4ADAB0" w14:textId="77777777" w:rsidR="0000205E" w:rsidRDefault="00875918" w:rsidP="005D529F">
      <w:pPr>
        <w:rPr>
          <w:rFonts w:cs="Times New Roman"/>
        </w:rPr>
      </w:pPr>
      <w:r w:rsidRPr="005D529F">
        <w:rPr>
          <w:rFonts w:cs="Times New Roman"/>
        </w:rPr>
        <w:t xml:space="preserve">Los placeres de Epicuro, sin embargo, no son los de Chao y Mu. “Cuando, por tanto, decimos que el placer es fin no nos referimos a los placeres de los disolutos o a los que se dan en el goce, como creen algunos que desconocen o no están de acuerdo o malinterpretan nuestra doctrina, sino al no sufrir dolor en el cuerpo ni turbación en el alma. Pues ni banquetes ni orgías constantes ni disfrutar de muchachos ni de mujeres ni de peces ni de las demás cosas que ofrece una mesa lujosa engendran una vida feliz, sino un cálculo prudente que investigue las causas de toda elección y rechazo y disipe las falsas opiniones </w:t>
      </w:r>
      <w:r w:rsidR="00743D89" w:rsidRPr="005D529F">
        <w:rPr>
          <w:rFonts w:cs="Times New Roman"/>
        </w:rPr>
        <w:t xml:space="preserve"> de las que nace la más grande turbación que se adueña del alma. De todas estas cosas, el principio y el mayor bien es la prudencia. Por ello la prudencia es incluso más apreciable que la filosofía; de ella nacen todas las demás vi</w:t>
      </w:r>
      <w:r w:rsidR="00815FA9" w:rsidRPr="005D529F">
        <w:rPr>
          <w:rFonts w:cs="Times New Roman"/>
        </w:rPr>
        <w:t>rtudes, porque enseña que no</w:t>
      </w:r>
      <w:r w:rsidR="00743D89" w:rsidRPr="005D529F">
        <w:rPr>
          <w:rFonts w:cs="Times New Roman"/>
        </w:rPr>
        <w:t xml:space="preserve"> es posible vivir feliz sin vivir sensata, honesta y justamente, ni vivir sensata, honesta y justamente sin vivir feliz”.</w:t>
      </w:r>
      <w:r w:rsidR="00815FA9" w:rsidRPr="005D529F">
        <w:rPr>
          <w:rFonts w:cs="Times New Roman"/>
        </w:rPr>
        <w:t xml:space="preserve"> </w:t>
      </w:r>
      <w:r w:rsidR="00C23A85" w:rsidRPr="005D529F">
        <w:rPr>
          <w:rFonts w:cs="Times New Roman"/>
        </w:rPr>
        <w:t>La satisfacción de cualquier deseo no conduce necesariamente  a la felicidad. “Y hay que considerar que de los deseos unos son naturales, otros vanos; y de los naturales unos son necesarios, otros sólo naturales; y de los necesarios unos lo son para la felicidad, otros para el bienestar del cuerpo, otros para la vida. Un recto conocimiento de estos deseos sabe, en efecto, supeditar toda elección o rechazo a la salud del cuerpo y a la serenidad del alma, porque esto es la culminación de la vida feliz. En razón de esto todo lo hacemos, para no tener dol</w:t>
      </w:r>
      <w:r w:rsidR="00A10464" w:rsidRPr="005D529F">
        <w:rPr>
          <w:rFonts w:cs="Times New Roman"/>
        </w:rPr>
        <w:t>or en el cuerpo ni turbación en</w:t>
      </w:r>
      <w:r w:rsidR="00C23A85" w:rsidRPr="005D529F">
        <w:rPr>
          <w:rFonts w:cs="Times New Roman"/>
        </w:rPr>
        <w:t xml:space="preserve"> el alma”</w:t>
      </w:r>
      <w:r w:rsidR="00DC62C6" w:rsidRPr="005D529F">
        <w:rPr>
          <w:rFonts w:cs="Times New Roman"/>
        </w:rPr>
        <w:t>.</w:t>
      </w:r>
      <w:r w:rsidR="00DF7931" w:rsidRPr="005D529F">
        <w:rPr>
          <w:rFonts w:cs="Times New Roman"/>
        </w:rPr>
        <w:t xml:space="preserve"> “Y como este (el placer) es el bien primero y connatural, precisamente por ello no elegimos todos los placeres, sino que hay ocasiones en que soslayamos muchos, cuando de ellos se sigue para nosotros una molestia mayor”.</w:t>
      </w:r>
    </w:p>
    <w:p w14:paraId="1CE31928" w14:textId="77777777" w:rsidR="0000205E" w:rsidRDefault="00A10464" w:rsidP="005D529F">
      <w:pPr>
        <w:rPr>
          <w:rFonts w:cs="Times New Roman"/>
        </w:rPr>
      </w:pPr>
      <w:r w:rsidRPr="005D529F">
        <w:rPr>
          <w:rFonts w:cs="Times New Roman"/>
        </w:rPr>
        <w:t xml:space="preserve">La felicidad de Epicuro, </w:t>
      </w:r>
      <w:r w:rsidR="00A7153D" w:rsidRPr="005D529F">
        <w:rPr>
          <w:rFonts w:cs="Times New Roman"/>
        </w:rPr>
        <w:t>inspirada en la prudencia</w:t>
      </w:r>
      <w:r w:rsidRPr="005D529F">
        <w:rPr>
          <w:rFonts w:cs="Times New Roman"/>
        </w:rPr>
        <w:t xml:space="preserve">, </w:t>
      </w:r>
      <w:r w:rsidR="00CC1F6D" w:rsidRPr="005D529F">
        <w:rPr>
          <w:rFonts w:cs="Times New Roman"/>
        </w:rPr>
        <w:t xml:space="preserve">es la que procura una vida tranquila y autosuficiente, y </w:t>
      </w:r>
      <w:r w:rsidRPr="005D529F">
        <w:rPr>
          <w:rFonts w:cs="Times New Roman"/>
        </w:rPr>
        <w:t xml:space="preserve">consiste en la </w:t>
      </w:r>
      <w:r w:rsidR="0077577F" w:rsidRPr="005D529F">
        <w:rPr>
          <w:rFonts w:cs="Times New Roman"/>
        </w:rPr>
        <w:t>serenidad del espí</w:t>
      </w:r>
      <w:r w:rsidR="00CC1F6D" w:rsidRPr="005D529F">
        <w:rPr>
          <w:rFonts w:cs="Times New Roman"/>
        </w:rPr>
        <w:t>ritu</w:t>
      </w:r>
      <w:r w:rsidR="00925F36" w:rsidRPr="005D529F">
        <w:rPr>
          <w:rFonts w:cs="Times New Roman"/>
        </w:rPr>
        <w:t xml:space="preserve"> (ataraxia)</w:t>
      </w:r>
      <w:r w:rsidR="00CC1F6D" w:rsidRPr="005D529F">
        <w:rPr>
          <w:rFonts w:cs="Times New Roman"/>
        </w:rPr>
        <w:t xml:space="preserve"> y en la ausencia del dolor</w:t>
      </w:r>
      <w:r w:rsidR="00925F36" w:rsidRPr="005D529F">
        <w:rPr>
          <w:rFonts w:cs="Times New Roman"/>
        </w:rPr>
        <w:t xml:space="preserve"> (aponia)</w:t>
      </w:r>
      <w:r w:rsidR="0077577F" w:rsidRPr="005D529F">
        <w:rPr>
          <w:rFonts w:cs="Times New Roman"/>
        </w:rPr>
        <w:t xml:space="preserve">. </w:t>
      </w:r>
      <w:r w:rsidR="00567931" w:rsidRPr="005D529F">
        <w:rPr>
          <w:rFonts w:cs="Times New Roman"/>
        </w:rPr>
        <w:t xml:space="preserve">“La serenidad del alma y la ausencia de dolor corpóreo son placeres catastemáticos (o en reposo). La dicha y el gozo se revelan por su actividad como placeres en movimiento”; “Límite de la magnitud de los placeres es la eliminación de todo dolor. Donde haya placer, por el tiempo que dure, no existe dolor o pesar o la mezcla de ambos”; </w:t>
      </w:r>
      <w:r w:rsidR="0077577F" w:rsidRPr="005D529F">
        <w:rPr>
          <w:rFonts w:cs="Times New Roman"/>
        </w:rPr>
        <w:t>“También a la autosuficiencia la consideramos un gran bien, no para que siempre nos sirvamos de poco sino para que, si no tenemos mucho, nos contentemos con poco, auténticamente convencidos de que más agradablemente gozan de la abundancia quienes tienen menos necesidad de ella y de que todo lo natural es fácilmente procurable y lo vano difícil de obtener”.</w:t>
      </w:r>
      <w:r w:rsidR="00567931" w:rsidRPr="005D529F">
        <w:rPr>
          <w:rFonts w:cs="Times New Roman"/>
        </w:rPr>
        <w:t xml:space="preserve"> “Reboso de placer en el cuerpo cuando dispongo de pan y </w:t>
      </w:r>
      <w:r w:rsidR="00567931" w:rsidRPr="005D529F">
        <w:rPr>
          <w:rFonts w:cs="Times New Roman"/>
        </w:rPr>
        <w:lastRenderedPageBreak/>
        <w:t xml:space="preserve">agua. Y escupo sobre los placeres de la abundancia, no por sí mismos, sino por las molestias que le siguen”. “Nada produce tanto regocijo como el no cumplir muchos cometidos ni emprender asuntos engorrosos ni violentar nuestra capacidad más allá de sus fuerzas, pues todo ello provoca perturbaciones en nuestra naturaleza”. </w:t>
      </w:r>
    </w:p>
    <w:p w14:paraId="5039EA33" w14:textId="6BBD2EEA" w:rsidR="001A2341" w:rsidRDefault="00CC1F6D" w:rsidP="005D529F">
      <w:pPr>
        <w:rPr>
          <w:rFonts w:cs="Times New Roman"/>
        </w:rPr>
      </w:pPr>
      <w:r w:rsidRPr="005D529F">
        <w:rPr>
          <w:rFonts w:cs="Times New Roman"/>
        </w:rPr>
        <w:t xml:space="preserve">Los exiguos testimonios, máximas y exhortaciones que han perdurado </w:t>
      </w:r>
      <w:r w:rsidR="00A7153D" w:rsidRPr="005D529F">
        <w:rPr>
          <w:rFonts w:cs="Times New Roman"/>
        </w:rPr>
        <w:t xml:space="preserve">desarrollan </w:t>
      </w:r>
      <w:r w:rsidR="00567931" w:rsidRPr="005D529F">
        <w:rPr>
          <w:rFonts w:cs="Times New Roman"/>
        </w:rPr>
        <w:t xml:space="preserve">la </w:t>
      </w:r>
      <w:r w:rsidR="00B447E5" w:rsidRPr="005D529F">
        <w:rPr>
          <w:rFonts w:cs="Times New Roman"/>
        </w:rPr>
        <w:t>ética</w:t>
      </w:r>
      <w:r w:rsidR="00A7153D" w:rsidRPr="005D529F">
        <w:rPr>
          <w:rFonts w:cs="Times New Roman"/>
        </w:rPr>
        <w:t xml:space="preserve"> </w:t>
      </w:r>
      <w:r w:rsidR="00B447E5" w:rsidRPr="005D529F">
        <w:rPr>
          <w:rFonts w:cs="Times New Roman"/>
        </w:rPr>
        <w:t>epicúrea</w:t>
      </w:r>
      <w:r w:rsidRPr="005D529F">
        <w:rPr>
          <w:rFonts w:cs="Times New Roman"/>
        </w:rPr>
        <w:t>.</w:t>
      </w:r>
      <w:r w:rsidR="00D51DD2" w:rsidRPr="005D529F">
        <w:rPr>
          <w:rFonts w:cs="Times New Roman"/>
        </w:rPr>
        <w:t xml:space="preserve"> Veamos algunos </w:t>
      </w:r>
      <w:r w:rsidR="00567931" w:rsidRPr="005D529F">
        <w:rPr>
          <w:rFonts w:cs="Times New Roman"/>
        </w:rPr>
        <w:t>más</w:t>
      </w:r>
      <w:r w:rsidR="00D51DD2" w:rsidRPr="005D529F">
        <w:rPr>
          <w:rFonts w:cs="Times New Roman"/>
        </w:rPr>
        <w:t>:</w:t>
      </w:r>
      <w:r w:rsidRPr="005D529F">
        <w:rPr>
          <w:rFonts w:cs="Times New Roman"/>
        </w:rPr>
        <w:t xml:space="preserve"> </w:t>
      </w:r>
      <w:r w:rsidR="003249FD" w:rsidRPr="005D529F">
        <w:rPr>
          <w:rFonts w:cs="Times New Roman"/>
        </w:rPr>
        <w:t>“Ningún placer por sí mismo es un mal. Pero las cosas que producen ciertos placeres acarrean muchas más perturbaciones que placeres”; “La riqueza acorde con la naturaleza está delimitada y es fácil de conseguir. Pero la de las vanas ambic</w:t>
      </w:r>
      <w:r w:rsidR="00156CB8" w:rsidRPr="005D529F">
        <w:rPr>
          <w:rFonts w:cs="Times New Roman"/>
        </w:rPr>
        <w:t>iones se derrama al infinito”; “</w:t>
      </w:r>
      <w:r w:rsidR="003249FD" w:rsidRPr="005D529F">
        <w:rPr>
          <w:rFonts w:cs="Times New Roman"/>
        </w:rPr>
        <w:t>Este es el grito de la carne: no tener hambre, no tener sed, no tener frío</w:t>
      </w:r>
      <w:r w:rsidR="00372A88" w:rsidRPr="005D529F">
        <w:rPr>
          <w:rFonts w:cs="Times New Roman"/>
        </w:rPr>
        <w:t>; quie</w:t>
      </w:r>
      <w:r w:rsidR="00156CB8" w:rsidRPr="005D529F">
        <w:rPr>
          <w:rFonts w:cs="Times New Roman"/>
        </w:rPr>
        <w:t>n tenga y espere tener esto también podría rivalizar con Zeus en felicidad”; “¡Huye, afortunado, a velas desplegadas de toda forma de cultura!”; “Escupo sobre lo bello moral y los que vanamente lo admiran cuan</w:t>
      </w:r>
      <w:r w:rsidR="007F1BE3" w:rsidRPr="005D529F">
        <w:rPr>
          <w:rFonts w:cs="Times New Roman"/>
        </w:rPr>
        <w:t>do no produce ningún placer”. “D</w:t>
      </w:r>
      <w:r w:rsidR="00156CB8" w:rsidRPr="005D529F">
        <w:rPr>
          <w:rFonts w:cs="Times New Roman"/>
        </w:rPr>
        <w:t xml:space="preserve">ebemos apreciar lo bello, las virtudes y las cosas por el estilo si producen placer; si no, hay que mandarlas a paseo”; “También las virtudes se eligen por placer, y no por sí mismas, como la medicina por la salud”; “El más grande fruto de la justicia es la serenidad del alma”; “El justo es el más imperturbable, y el injusto está repleto de la mayor perturbación”; “Nada hagas en tu vida que pueda procurarte temor si fuera conocido por el prójimo”; </w:t>
      </w:r>
      <w:r w:rsidR="00966EDF" w:rsidRPr="005D529F">
        <w:rPr>
          <w:rFonts w:cs="Times New Roman"/>
        </w:rPr>
        <w:t>“De los bienes que la sabiduría ofrece para la felicidad de la vida entera, el mayor con mucho es la adquisición de la amistad”</w:t>
      </w:r>
      <w:r w:rsidR="006B04B6" w:rsidRPr="005D529F">
        <w:rPr>
          <w:rFonts w:cs="Times New Roman"/>
        </w:rPr>
        <w:t xml:space="preserve"> (García Gual et al</w:t>
      </w:r>
      <w:r w:rsidR="004128C2" w:rsidRPr="005D529F">
        <w:rPr>
          <w:rFonts w:cs="Times New Roman"/>
        </w:rPr>
        <w:t>.</w:t>
      </w:r>
      <w:r w:rsidR="006B04B6" w:rsidRPr="005D529F">
        <w:rPr>
          <w:rFonts w:cs="Times New Roman"/>
        </w:rPr>
        <w:t>, 2013)</w:t>
      </w:r>
      <w:r w:rsidR="00966EDF" w:rsidRPr="005D529F">
        <w:rPr>
          <w:rFonts w:cs="Times New Roman"/>
        </w:rPr>
        <w:t>.</w:t>
      </w:r>
    </w:p>
    <w:p w14:paraId="596C5E6F" w14:textId="77777777" w:rsidR="0000205E" w:rsidRDefault="00016317" w:rsidP="008B69BB">
      <w:pPr>
        <w:pStyle w:val="Ttulo2"/>
      </w:pPr>
      <w:bookmarkStart w:id="19" w:name="_Toc311991780"/>
      <w:bookmarkStart w:id="20" w:name="_Toc311993009"/>
      <w:r w:rsidRPr="005D529F">
        <w:t>1.</w:t>
      </w:r>
      <w:r w:rsidR="00D1545E" w:rsidRPr="005D529F">
        <w:t>3</w:t>
      </w:r>
      <w:r w:rsidR="00306291" w:rsidRPr="005D529F">
        <w:t xml:space="preserve"> </w:t>
      </w:r>
      <w:r w:rsidR="00142A0B" w:rsidRPr="005D529F">
        <w:t xml:space="preserve"> </w:t>
      </w:r>
      <w:r w:rsidR="0018466A" w:rsidRPr="005D529F">
        <w:t>Aristóteles</w:t>
      </w:r>
      <w:bookmarkEnd w:id="19"/>
      <w:bookmarkEnd w:id="20"/>
    </w:p>
    <w:p w14:paraId="32D766F3" w14:textId="77777777" w:rsidR="0000205E" w:rsidRDefault="00C251B4" w:rsidP="005D529F">
      <w:pPr>
        <w:rPr>
          <w:rFonts w:cs="Times New Roman"/>
        </w:rPr>
      </w:pPr>
      <w:r w:rsidRPr="005D529F">
        <w:rPr>
          <w:rFonts w:cs="Times New Roman"/>
        </w:rPr>
        <w:t>Aristóteles indaga sobre la felicidad (euda</w:t>
      </w:r>
      <w:r w:rsidR="008855DB" w:rsidRPr="005D529F">
        <w:rPr>
          <w:rFonts w:cs="Times New Roman"/>
        </w:rPr>
        <w:t>i</w:t>
      </w:r>
      <w:r w:rsidRPr="005D529F">
        <w:rPr>
          <w:rFonts w:cs="Times New Roman"/>
        </w:rPr>
        <w:t>monía) en su obra Ética a Nicómaco</w:t>
      </w:r>
      <w:r w:rsidR="00C80536" w:rsidRPr="005D529F">
        <w:rPr>
          <w:rFonts w:cs="Times New Roman"/>
        </w:rPr>
        <w:t xml:space="preserve">, </w:t>
      </w:r>
      <w:r w:rsidR="00E71475" w:rsidRPr="005D529F">
        <w:rPr>
          <w:rFonts w:cs="Times New Roman"/>
        </w:rPr>
        <w:t>inicia</w:t>
      </w:r>
      <w:r w:rsidR="00C80536" w:rsidRPr="005D529F">
        <w:rPr>
          <w:rFonts w:cs="Times New Roman"/>
        </w:rPr>
        <w:t>ndo</w:t>
      </w:r>
      <w:r w:rsidR="00E71475" w:rsidRPr="005D529F">
        <w:rPr>
          <w:rFonts w:cs="Times New Roman"/>
        </w:rPr>
        <w:t xml:space="preserve"> la indagación con una pregunta,</w:t>
      </w:r>
      <w:r w:rsidRPr="005D529F">
        <w:rPr>
          <w:rFonts w:cs="Times New Roman"/>
        </w:rPr>
        <w:t xml:space="preserve"> “</w:t>
      </w:r>
      <w:r w:rsidR="00AC2365" w:rsidRPr="005D529F">
        <w:rPr>
          <w:rFonts w:cs="Times New Roman"/>
        </w:rPr>
        <w:t xml:space="preserve">... cuál es la meta de la política y </w:t>
      </w:r>
      <w:r w:rsidR="00D1545E" w:rsidRPr="005D529F">
        <w:rPr>
          <w:rFonts w:cs="Times New Roman"/>
        </w:rPr>
        <w:t>cuál es el bien supremo entre to</w:t>
      </w:r>
      <w:r w:rsidR="00AC2365" w:rsidRPr="005D529F">
        <w:rPr>
          <w:rFonts w:cs="Times New Roman"/>
        </w:rPr>
        <w:t>dos los que pueden realizarse</w:t>
      </w:r>
      <w:r w:rsidR="00E71475" w:rsidRPr="005D529F">
        <w:rPr>
          <w:rFonts w:cs="Times New Roman"/>
        </w:rPr>
        <w:t>”</w:t>
      </w:r>
      <w:r w:rsidR="00C80536" w:rsidRPr="005D529F">
        <w:rPr>
          <w:rFonts w:cs="Times New Roman"/>
        </w:rPr>
        <w:t>, y con una respuesta:</w:t>
      </w:r>
      <w:r w:rsidR="00E71475" w:rsidRPr="005D529F">
        <w:rPr>
          <w:rFonts w:cs="Times New Roman"/>
        </w:rPr>
        <w:t xml:space="preserve"> “</w:t>
      </w:r>
      <w:r w:rsidR="00AC2365" w:rsidRPr="005D529F">
        <w:rPr>
          <w:rFonts w:cs="Times New Roman"/>
        </w:rPr>
        <w:t>Sobre su nombre, casi todo mundo está de acuerdo, pues tanto el vulgo como los cultos dicen que es la felicidad, y piensan que vivir bien y obrar bien es lo mismo que ser feliz. Pero sobre lo que es la felicidad discuten y no lo explican del mismo modo el vulgo y los sabios. Pues unos creen que es alguna de las cosas tangibles y manifiestas como el placer, o la riqueza, o los honores; otros, otra cosa; muchas veces, incluso, una misma persona opina cosas distintas: si está enferma piensa que la felicidad es la salud; si es pobre, la riqueza; los que tienen conciencia de su ignorancia admiran a los que dicen algo grande y que está por encima de ellos. Pero algunos creen que, aparte de esta multitud de bienes, existe otro bien en sí y que es la causa de que todos aquellos sean bienes”.</w:t>
      </w:r>
      <w:r w:rsidR="008855DB" w:rsidRPr="005D529F">
        <w:rPr>
          <w:rFonts w:cs="Times New Roman"/>
        </w:rPr>
        <w:t xml:space="preserve"> Este bien perfecto y suficiente “parece ser, sobre todo, la felicidad, pues la elegimos por ella misma y nunca por otra cosa, mientras que los honores, el placer, la inteligencia y toda virtud, los deseamos en verdad, por sí mimos (puesto que desearíamos </w:t>
      </w:r>
      <w:r w:rsidR="00B70A8F" w:rsidRPr="005D529F">
        <w:rPr>
          <w:rFonts w:cs="Times New Roman"/>
        </w:rPr>
        <w:t xml:space="preserve">todas </w:t>
      </w:r>
      <w:r w:rsidR="008855DB" w:rsidRPr="005D529F">
        <w:rPr>
          <w:rFonts w:cs="Times New Roman"/>
        </w:rPr>
        <w:t>estas</w:t>
      </w:r>
      <w:r w:rsidR="00B70A8F" w:rsidRPr="005D529F">
        <w:rPr>
          <w:rFonts w:cs="Times New Roman"/>
        </w:rPr>
        <w:t xml:space="preserve"> cosas</w:t>
      </w:r>
      <w:r w:rsidR="008855DB" w:rsidRPr="005D529F">
        <w:rPr>
          <w:rFonts w:cs="Times New Roman"/>
        </w:rPr>
        <w:t>, aunque ninguna ventaja resu</w:t>
      </w:r>
      <w:r w:rsidR="00FA60A6" w:rsidRPr="005D529F">
        <w:rPr>
          <w:rFonts w:cs="Times New Roman"/>
        </w:rPr>
        <w:t>ltara de ellas), pero también lo</w:t>
      </w:r>
      <w:r w:rsidR="008855DB" w:rsidRPr="005D529F">
        <w:rPr>
          <w:rFonts w:cs="Times New Roman"/>
        </w:rPr>
        <w:t>s deseamos a causa de la felicidad, pues pensamos que gracias a ellas seremos felices. En cambio nadie busca la felic</w:t>
      </w:r>
      <w:r w:rsidR="00FA60A6" w:rsidRPr="005D529F">
        <w:rPr>
          <w:rFonts w:cs="Times New Roman"/>
        </w:rPr>
        <w:t>id</w:t>
      </w:r>
      <w:r w:rsidR="008855DB" w:rsidRPr="005D529F">
        <w:rPr>
          <w:rFonts w:cs="Times New Roman"/>
        </w:rPr>
        <w:t xml:space="preserve">ad por estas </w:t>
      </w:r>
      <w:r w:rsidR="00FA60A6" w:rsidRPr="005D529F">
        <w:rPr>
          <w:rFonts w:cs="Times New Roman"/>
        </w:rPr>
        <w:t>cosas, ni en general por ninguna</w:t>
      </w:r>
      <w:r w:rsidR="008855DB" w:rsidRPr="005D529F">
        <w:rPr>
          <w:rFonts w:cs="Times New Roman"/>
        </w:rPr>
        <w:t xml:space="preserve"> otra”.</w:t>
      </w:r>
    </w:p>
    <w:p w14:paraId="584271A5" w14:textId="77777777" w:rsidR="0000205E" w:rsidRDefault="00FA60A6" w:rsidP="005D529F">
      <w:pPr>
        <w:rPr>
          <w:rFonts w:cs="Times New Roman"/>
        </w:rPr>
      </w:pPr>
      <w:r w:rsidRPr="005D529F">
        <w:rPr>
          <w:rFonts w:cs="Times New Roman"/>
        </w:rPr>
        <w:lastRenderedPageBreak/>
        <w:t xml:space="preserve">Pero, ¿qué es la felicidad? Aristóteles nos dice que quizás consigamos clarificar este concepto </w:t>
      </w:r>
      <w:r w:rsidR="00544DC2" w:rsidRPr="005D529F">
        <w:rPr>
          <w:rFonts w:cs="Times New Roman"/>
        </w:rPr>
        <w:t>captando</w:t>
      </w:r>
      <w:r w:rsidRPr="005D529F">
        <w:rPr>
          <w:rFonts w:cs="Times New Roman"/>
        </w:rPr>
        <w:t xml:space="preserve"> la función propia del ser humano</w:t>
      </w:r>
      <w:r w:rsidR="00544DC2" w:rsidRPr="005D529F">
        <w:rPr>
          <w:rFonts w:cs="Times New Roman"/>
        </w:rPr>
        <w:t xml:space="preserve">, </w:t>
      </w:r>
      <w:r w:rsidR="00B225E8" w:rsidRPr="005D529F">
        <w:rPr>
          <w:rFonts w:cs="Times New Roman"/>
        </w:rPr>
        <w:t xml:space="preserve">que no es ni el vivir fisiológico ni el sensitivo, sino “cierta actividad propia del ente que tiene razón”. </w:t>
      </w:r>
      <w:r w:rsidR="00FA0648" w:rsidRPr="005D529F">
        <w:rPr>
          <w:rFonts w:cs="Times New Roman"/>
        </w:rPr>
        <w:t xml:space="preserve">“Si, entonces, la función propia del hombre es una actividad del alma según la razón, ..., y si por otra parte decimos que esta función es específicamente propia del hombre y del hombre bueno, como el tocar la cítara es propio de un citarista y de un buen citarista, y así en todo añadiéndose a la obra la excelencia queda la virtud, ..., resulta que el bien del hombre </w:t>
      </w:r>
      <w:r w:rsidR="00835E87" w:rsidRPr="005D529F">
        <w:rPr>
          <w:rFonts w:cs="Times New Roman"/>
        </w:rPr>
        <w:t xml:space="preserve">(la felicidad) </w:t>
      </w:r>
      <w:r w:rsidR="00FA0648" w:rsidRPr="005D529F">
        <w:rPr>
          <w:rFonts w:cs="Times New Roman"/>
        </w:rPr>
        <w:t xml:space="preserve">es una actividad del alma de </w:t>
      </w:r>
      <w:r w:rsidR="00835E87" w:rsidRPr="005D529F">
        <w:rPr>
          <w:rFonts w:cs="Times New Roman"/>
        </w:rPr>
        <w:t>a</w:t>
      </w:r>
      <w:r w:rsidR="00FA0648" w:rsidRPr="005D529F">
        <w:rPr>
          <w:rFonts w:cs="Times New Roman"/>
        </w:rPr>
        <w:t>cuerdo con la virtud”.</w:t>
      </w:r>
      <w:r w:rsidR="00835E87" w:rsidRPr="005D529F">
        <w:rPr>
          <w:rFonts w:cs="Times New Roman"/>
        </w:rPr>
        <w:t xml:space="preserve"> Esta definición “concuerda también con nuestro razonamiento de que el hombre feliz vive bien y obra bien”.</w:t>
      </w:r>
      <w:r w:rsidR="00B06578" w:rsidRPr="005D529F">
        <w:rPr>
          <w:rFonts w:cs="Times New Roman"/>
        </w:rPr>
        <w:t xml:space="preserve"> “... las actividades que se escogen por sí mismas son aquellas de las cuales no se busca nada fuera de la misma actividad. Tales parecen ser las acciones de acuerdo con la virtud. Pues el hacer lo que es noble y bueno es algo deseado por sí mismo”. “En la vida los que actúan rectamente alcanzan las cosas buenas y hermosas; y la vida de éstos es por sí misma agradable. Porque el placer es algo que pertenece al alma, y para cada uno es placentero</w:t>
      </w:r>
      <w:r w:rsidR="0026281A" w:rsidRPr="005D529F">
        <w:rPr>
          <w:rFonts w:cs="Times New Roman"/>
        </w:rPr>
        <w:t xml:space="preserve"> aquello de lo que se dice aficionado, ..., y en general las cosas virtuosas gustan al que ama la virtud”.</w:t>
      </w:r>
      <w:r w:rsidR="00B06578" w:rsidRPr="005D529F">
        <w:rPr>
          <w:rFonts w:cs="Times New Roman"/>
        </w:rPr>
        <w:t xml:space="preserve"> </w:t>
      </w:r>
      <w:r w:rsidR="00A46BBB" w:rsidRPr="005D529F">
        <w:rPr>
          <w:rFonts w:cs="Times New Roman"/>
        </w:rPr>
        <w:t>“Si esto es así, las acciones de acuerdo con la virtud será</w:t>
      </w:r>
      <w:r w:rsidR="00D1545E" w:rsidRPr="005D529F">
        <w:rPr>
          <w:rFonts w:cs="Times New Roman"/>
        </w:rPr>
        <w:t>n</w:t>
      </w:r>
      <w:r w:rsidR="00A46BBB" w:rsidRPr="005D529F">
        <w:rPr>
          <w:rFonts w:cs="Times New Roman"/>
        </w:rPr>
        <w:t xml:space="preserve"> por sí mismas agradables”. “La felicidad, por consiguiente, es lo mejor, lo más hermoso y lo más agradable”.</w:t>
      </w:r>
    </w:p>
    <w:p w14:paraId="378AE42E" w14:textId="77777777" w:rsidR="0000205E" w:rsidRDefault="00E7554C" w:rsidP="005D529F">
      <w:pPr>
        <w:rPr>
          <w:rFonts w:cs="Times New Roman"/>
        </w:rPr>
      </w:pPr>
      <w:r w:rsidRPr="005D529F">
        <w:rPr>
          <w:rFonts w:cs="Times New Roman"/>
        </w:rPr>
        <w:t>Dado que la felicidad, para Aristóteles, es una actividad con arreglo a la virtud (areté), “es evidente que la felicidad necesita también de los</w:t>
      </w:r>
      <w:r w:rsidR="00571296" w:rsidRPr="005D529F">
        <w:rPr>
          <w:rFonts w:cs="Times New Roman"/>
        </w:rPr>
        <w:t xml:space="preserve"> bienes exteriores</w:t>
      </w:r>
      <w:r w:rsidRPr="005D529F">
        <w:rPr>
          <w:rFonts w:cs="Times New Roman"/>
        </w:rPr>
        <w:t xml:space="preserve">; pues es imposible o no es fácil hacer el bien cuando no se cuenta con recursos. Muchas cosas, en efecto se hacen por medio de los amigos o de la riqueza, o del poder político, como si se tratase de instrumentos; pero la carencia de algunas cosas, como la nobleza de linaje, buenos hijos y belleza, empañan la dicha; pues uno que fuera de semblante feísimo o mal nacido o solo y sin hijos, no podría ser feliz del todo”. “Entonces, como hemos dicho, la felicidad parece necesitar de tal prosperidad”. </w:t>
      </w:r>
      <w:r w:rsidR="004067AC" w:rsidRPr="005D529F">
        <w:rPr>
          <w:rFonts w:cs="Times New Roman"/>
        </w:rPr>
        <w:t>Pero -</w:t>
      </w:r>
      <w:r w:rsidR="00F352F8" w:rsidRPr="005D529F">
        <w:rPr>
          <w:rFonts w:cs="Times New Roman"/>
        </w:rPr>
        <w:t>advierte Aristóteles- en modo alguno sería correcto seguir las vicisitudes de la fortuna, porque la bondad o maldad d</w:t>
      </w:r>
      <w:r w:rsidR="004067AC" w:rsidRPr="005D529F">
        <w:rPr>
          <w:rFonts w:cs="Times New Roman"/>
        </w:rPr>
        <w:t>e un hombre no depende de ellas</w:t>
      </w:r>
      <w:r w:rsidR="00F352F8" w:rsidRPr="005D529F">
        <w:rPr>
          <w:rFonts w:cs="Times New Roman"/>
        </w:rPr>
        <w:t>. “Nosotros creemos, pues, que el hombre verdaderamente bueno y prudente soporta dignamente todas las vicisitudes de la fortuna y actúa siempre de la mejor manera posible, en cualquier circunstancia (un buen zapatero h</w:t>
      </w:r>
      <w:r w:rsidR="0047371A" w:rsidRPr="005D529F">
        <w:rPr>
          <w:rFonts w:cs="Times New Roman"/>
        </w:rPr>
        <w:t xml:space="preserve">ace el mejor calzado con el </w:t>
      </w:r>
      <w:r w:rsidR="00F352F8" w:rsidRPr="005D529F">
        <w:rPr>
          <w:rFonts w:cs="Times New Roman"/>
        </w:rPr>
        <w:t>cuero que se le da)”. “Y si esto es así, el hombre feliz jamás será desgraciado, aunque tampoco venturoso, si cae en los infortunios de Príamo”.</w:t>
      </w:r>
    </w:p>
    <w:p w14:paraId="62871495" w14:textId="53BDC376" w:rsidR="008B69BB" w:rsidRPr="00494F71" w:rsidRDefault="00CA7466" w:rsidP="00494F71">
      <w:pPr>
        <w:rPr>
          <w:rFonts w:cs="Times New Roman"/>
        </w:rPr>
      </w:pPr>
      <w:r w:rsidRPr="005D529F">
        <w:rPr>
          <w:rFonts w:cs="Times New Roman"/>
        </w:rPr>
        <w:t>Sobre el placer: “todos creen que la vida feliz es agradable y con razón tejen el placer con la felicidad”</w:t>
      </w:r>
      <w:r w:rsidR="000F44A2" w:rsidRPr="005D529F">
        <w:rPr>
          <w:rFonts w:cs="Times New Roman"/>
        </w:rPr>
        <w:t>. “Por eso, el hombre feliz necesita de los bienes corporales y de los externos y de la fortuna”. “Los que andan diciendo que el que es torturado o el que ha caído en grandes desgracias es feliz si es bueno, dice una necedad”. “Y puesto que la felicidad necesita de la fortuna, creen algunos que la buena fortuna es lo mismo que la felicidad; pero no lo es, ya que también es un obstáculo para la felicidad si es excesiva”.</w:t>
      </w:r>
      <w:r w:rsidR="00232E0E" w:rsidRPr="005D529F">
        <w:rPr>
          <w:rFonts w:cs="Times New Roman"/>
        </w:rPr>
        <w:t xml:space="preserve"> El placer es un bien, pero no es el bien supremo. “Cada placer reside en la actividad que perfecciona”</w:t>
      </w:r>
      <w:r w:rsidR="00873791" w:rsidRPr="005D529F">
        <w:rPr>
          <w:rFonts w:cs="Times New Roman"/>
        </w:rPr>
        <w:t>.</w:t>
      </w:r>
      <w:r w:rsidR="00232E0E" w:rsidRPr="005D529F">
        <w:rPr>
          <w:rFonts w:cs="Times New Roman"/>
        </w:rPr>
        <w:t xml:space="preserve"> Los placeres están vinculados a las actividades, y perfeccionan las actividades que le son propias.</w:t>
      </w:r>
      <w:r w:rsidR="00D07969" w:rsidRPr="005D529F">
        <w:rPr>
          <w:rFonts w:cs="Times New Roman"/>
        </w:rPr>
        <w:t xml:space="preserve"> “Cuando disfrutamos mucho de algo, no hacemos de ningún modo otra cosa”. Ahora bien, puesto que las actividades difieren por su bondad o maldad, y unas son </w:t>
      </w:r>
      <w:r w:rsidR="00D07969" w:rsidRPr="005D529F">
        <w:rPr>
          <w:rFonts w:cs="Times New Roman"/>
        </w:rPr>
        <w:lastRenderedPageBreak/>
        <w:t>dignas de ser buscadas, otras evitadas, y otras indiferentes, lo mismo ocurre con los placeres, pues a cada actividad le corresponde su propio placer”. “Así, estos placeres, unánimemente considerados como vergonzosos, no deben ser considerados como placeres”. Los únicos placeres legítimos será</w:t>
      </w:r>
      <w:r w:rsidR="0047371A" w:rsidRPr="005D529F">
        <w:rPr>
          <w:rFonts w:cs="Times New Roman"/>
        </w:rPr>
        <w:t>n</w:t>
      </w:r>
      <w:r w:rsidR="00D07969" w:rsidRPr="005D529F">
        <w:rPr>
          <w:rFonts w:cs="Times New Roman"/>
        </w:rPr>
        <w:t xml:space="preserve"> aquellos que se correspondan con la naturaleza y las funciones propias del ser humano y, entre estas, la más </w:t>
      </w:r>
      <w:r w:rsidR="0081657A" w:rsidRPr="005D529F">
        <w:rPr>
          <w:rFonts w:cs="Times New Roman"/>
        </w:rPr>
        <w:t>excelsa</w:t>
      </w:r>
      <w:r w:rsidR="00D07969" w:rsidRPr="005D529F">
        <w:rPr>
          <w:rFonts w:cs="Times New Roman"/>
        </w:rPr>
        <w:t xml:space="preserve">, continua y autárquica es </w:t>
      </w:r>
      <w:r w:rsidR="0081657A" w:rsidRPr="005D529F">
        <w:rPr>
          <w:rFonts w:cs="Times New Roman"/>
        </w:rPr>
        <w:t xml:space="preserve">la actividad del intelecto en concordancia con la sabiduría, esto es, las propias de la vida contemplativa. “Y esta vida será </w:t>
      </w:r>
      <w:r w:rsidR="004A1E3C" w:rsidRPr="005D529F">
        <w:rPr>
          <w:rFonts w:cs="Times New Roman"/>
        </w:rPr>
        <w:t xml:space="preserve">también </w:t>
      </w:r>
      <w:r w:rsidR="0081657A" w:rsidRPr="005D529F">
        <w:rPr>
          <w:rFonts w:cs="Times New Roman"/>
        </w:rPr>
        <w:t>la más feliz”. “El sabio será el más feliz de todos los hombres” (Aristóteles, 2010)</w:t>
      </w:r>
      <w:r w:rsidR="00411DBD" w:rsidRPr="005D529F">
        <w:rPr>
          <w:rFonts w:cs="Times New Roman"/>
        </w:rPr>
        <w:t>.</w:t>
      </w:r>
    </w:p>
    <w:p w14:paraId="0EC0C790" w14:textId="77777777" w:rsidR="0000205E" w:rsidRDefault="00016317" w:rsidP="001A2341">
      <w:pPr>
        <w:pStyle w:val="Ttulo2"/>
      </w:pPr>
      <w:bookmarkStart w:id="21" w:name="_Toc311991781"/>
      <w:bookmarkStart w:id="22" w:name="_Toc311993010"/>
      <w:r w:rsidRPr="005D529F">
        <w:t>1.</w:t>
      </w:r>
      <w:r w:rsidR="00306291" w:rsidRPr="005D529F">
        <w:t xml:space="preserve">4 </w:t>
      </w:r>
      <w:r w:rsidR="00142A0B" w:rsidRPr="005D529F">
        <w:t xml:space="preserve"> </w:t>
      </w:r>
      <w:r w:rsidR="0018466A" w:rsidRPr="005D529F">
        <w:t>Demócrito</w:t>
      </w:r>
      <w:bookmarkEnd w:id="21"/>
      <w:bookmarkEnd w:id="22"/>
    </w:p>
    <w:p w14:paraId="71D439FF" w14:textId="77777777" w:rsidR="0000205E" w:rsidRDefault="0018466A" w:rsidP="005D529F">
      <w:pPr>
        <w:rPr>
          <w:rFonts w:cs="Times New Roman"/>
        </w:rPr>
      </w:pPr>
      <w:r w:rsidRPr="005D529F">
        <w:rPr>
          <w:rFonts w:cs="Times New Roman"/>
        </w:rPr>
        <w:t xml:space="preserve">Demócrito, discípulo de Leucipo, y contemporáneo de Sócrates, destacó en la antigüedad por el desarrollo de la teoría atomista de la naturaleza que, al parecer, había </w:t>
      </w:r>
      <w:r w:rsidR="00B67960" w:rsidRPr="005D529F">
        <w:rPr>
          <w:rFonts w:cs="Times New Roman"/>
        </w:rPr>
        <w:t>recibido de</w:t>
      </w:r>
      <w:r w:rsidRPr="005D529F">
        <w:rPr>
          <w:rFonts w:cs="Times New Roman"/>
        </w:rPr>
        <w:t xml:space="preserve"> su maestro. De su ex</w:t>
      </w:r>
      <w:r w:rsidR="001D5D20" w:rsidRPr="005D529F">
        <w:rPr>
          <w:rFonts w:cs="Times New Roman"/>
        </w:rPr>
        <w:t>tensa obra apenas perviven tres</w:t>
      </w:r>
      <w:r w:rsidRPr="005D529F">
        <w:rPr>
          <w:rFonts w:cs="Times New Roman"/>
        </w:rPr>
        <w:t>cientos fragmentos, de cuya autenticidad dudan no sin razón algunas autoridades en la materia.</w:t>
      </w:r>
      <w:r w:rsidR="00B67960" w:rsidRPr="005D529F">
        <w:rPr>
          <w:rFonts w:cs="Times New Roman"/>
        </w:rPr>
        <w:t xml:space="preserve"> La mayoría de estos fragmentos tienen un contenido ético</w:t>
      </w:r>
      <w:r w:rsidR="00C128F5" w:rsidRPr="005D529F">
        <w:rPr>
          <w:rFonts w:cs="Times New Roman"/>
        </w:rPr>
        <w:t xml:space="preserve"> y político</w:t>
      </w:r>
      <w:r w:rsidR="00B67960" w:rsidRPr="005D529F">
        <w:rPr>
          <w:rFonts w:cs="Times New Roman"/>
        </w:rPr>
        <w:t xml:space="preserve">, </w:t>
      </w:r>
      <w:r w:rsidR="00C128F5" w:rsidRPr="005D529F">
        <w:rPr>
          <w:rFonts w:cs="Times New Roman"/>
        </w:rPr>
        <w:t>siendo quizás parte</w:t>
      </w:r>
      <w:r w:rsidR="00805A6C" w:rsidRPr="005D529F">
        <w:rPr>
          <w:rFonts w:cs="Times New Roman"/>
        </w:rPr>
        <w:t xml:space="preserve"> de una obra perdida</w:t>
      </w:r>
      <w:r w:rsidR="00C128F5" w:rsidRPr="005D529F">
        <w:rPr>
          <w:rFonts w:cs="Times New Roman"/>
        </w:rPr>
        <w:t>,</w:t>
      </w:r>
      <w:r w:rsidR="00763A6A" w:rsidRPr="005D529F">
        <w:rPr>
          <w:rFonts w:cs="Times New Roman"/>
        </w:rPr>
        <w:t xml:space="preserve"> titulada</w:t>
      </w:r>
      <w:r w:rsidR="00C128F5" w:rsidRPr="005D529F">
        <w:rPr>
          <w:rFonts w:cs="Times New Roman"/>
        </w:rPr>
        <w:t xml:space="preserve"> </w:t>
      </w:r>
      <w:r w:rsidR="00805A6C" w:rsidRPr="005D529F">
        <w:rPr>
          <w:rFonts w:cs="Times New Roman"/>
        </w:rPr>
        <w:t>Sobre el buen ánimo.</w:t>
      </w:r>
      <w:r w:rsidR="00BF3BAD" w:rsidRPr="005D529F">
        <w:rPr>
          <w:rFonts w:cs="Times New Roman"/>
        </w:rPr>
        <w:t xml:space="preserve"> El buen ánimo o euthymía sería para Demócrito </w:t>
      </w:r>
      <w:r w:rsidR="00874B2B" w:rsidRPr="005D529F">
        <w:rPr>
          <w:rFonts w:cs="Times New Roman"/>
        </w:rPr>
        <w:t xml:space="preserve">el fin de la vida. </w:t>
      </w:r>
      <w:r w:rsidR="005A6D80" w:rsidRPr="005D529F">
        <w:rPr>
          <w:rFonts w:cs="Times New Roman"/>
        </w:rPr>
        <w:t>“</w:t>
      </w:r>
      <w:r w:rsidR="00BF3BAD" w:rsidRPr="005D529F">
        <w:rPr>
          <w:rFonts w:cs="Times New Roman"/>
        </w:rPr>
        <w:t>Según escribe Diógenes Laercio (IX</w:t>
      </w:r>
      <w:r w:rsidR="005A6D80" w:rsidRPr="005D529F">
        <w:rPr>
          <w:rFonts w:cs="Times New Roman"/>
        </w:rPr>
        <w:t xml:space="preserve">, 45): </w:t>
      </w:r>
      <w:r w:rsidR="00BF3BAD" w:rsidRPr="005D529F">
        <w:rPr>
          <w:rFonts w:cs="Times New Roman"/>
        </w:rPr>
        <w:t>El télos, sostiene él, es el buen ánimo. No es lo mismo que el placer, como algunos supusieron erróneamente que era. Es, más bien, aquello mediante lo cual el alma del hombre está serena y equilibrada, no perturbada por el miedo, la superstición ni ninguna otra emoción. Lo llama también bienestar y con otros muchos nombres</w:t>
      </w:r>
      <w:r w:rsidR="005A6D80" w:rsidRPr="005D529F">
        <w:rPr>
          <w:rFonts w:cs="Times New Roman"/>
        </w:rPr>
        <w:t>” (Guthrie, 1986:499). Entre</w:t>
      </w:r>
      <w:r w:rsidR="00387172" w:rsidRPr="005D529F">
        <w:rPr>
          <w:rFonts w:cs="Times New Roman"/>
        </w:rPr>
        <w:t xml:space="preserve"> estos nombres se pueden incluir la ataraxia (ausencia de turbación</w:t>
      </w:r>
      <w:r w:rsidR="00887285" w:rsidRPr="005D529F">
        <w:rPr>
          <w:rFonts w:cs="Times New Roman"/>
        </w:rPr>
        <w:t>, serenidad</w:t>
      </w:r>
      <w:r w:rsidR="00387172" w:rsidRPr="005D529F">
        <w:rPr>
          <w:rFonts w:cs="Times New Roman"/>
        </w:rPr>
        <w:t>), la athambía (imperturbabilidad</w:t>
      </w:r>
      <w:r w:rsidR="00887285" w:rsidRPr="005D529F">
        <w:rPr>
          <w:rFonts w:cs="Times New Roman"/>
        </w:rPr>
        <w:t>, impavidez</w:t>
      </w:r>
      <w:r w:rsidR="00387172" w:rsidRPr="005D529F">
        <w:rPr>
          <w:rFonts w:cs="Times New Roman"/>
        </w:rPr>
        <w:t>)</w:t>
      </w:r>
      <w:r w:rsidR="00887285" w:rsidRPr="005D529F">
        <w:rPr>
          <w:rFonts w:cs="Times New Roman"/>
        </w:rPr>
        <w:t>, la harmonía (equilibrio, proporción, moderación, mesura), o la euda</w:t>
      </w:r>
      <w:r w:rsidR="002F771D" w:rsidRPr="005D529F">
        <w:rPr>
          <w:rFonts w:cs="Times New Roman"/>
        </w:rPr>
        <w:t>i</w:t>
      </w:r>
      <w:r w:rsidR="00887285" w:rsidRPr="005D529F">
        <w:rPr>
          <w:rFonts w:cs="Times New Roman"/>
        </w:rPr>
        <w:t>monía (felicidad, buena fortuna) (Russo</w:t>
      </w:r>
      <w:r w:rsidR="001D5D20" w:rsidRPr="005D529F">
        <w:rPr>
          <w:rFonts w:cs="Times New Roman"/>
        </w:rPr>
        <w:t xml:space="preserve"> Delgado</w:t>
      </w:r>
      <w:r w:rsidR="00887285" w:rsidRPr="005D529F">
        <w:rPr>
          <w:rFonts w:cs="Times New Roman"/>
        </w:rPr>
        <w:t xml:space="preserve">, </w:t>
      </w:r>
      <w:r w:rsidR="00DA7B36" w:rsidRPr="005D529F">
        <w:rPr>
          <w:rFonts w:cs="Times New Roman"/>
        </w:rPr>
        <w:t>2007)</w:t>
      </w:r>
      <w:r w:rsidR="00887285" w:rsidRPr="005D529F">
        <w:rPr>
          <w:rFonts w:cs="Times New Roman"/>
        </w:rPr>
        <w:t xml:space="preserve">. </w:t>
      </w:r>
      <w:r w:rsidR="007C03E4" w:rsidRPr="005D529F">
        <w:rPr>
          <w:rFonts w:cs="Times New Roman"/>
        </w:rPr>
        <w:t>En castellano, el “</w:t>
      </w:r>
      <w:r w:rsidR="00987F1E" w:rsidRPr="005D529F">
        <w:rPr>
          <w:rFonts w:cs="Times New Roman"/>
        </w:rPr>
        <w:t>buen ánimo</w:t>
      </w:r>
      <w:r w:rsidR="007C03E4" w:rsidRPr="005D529F">
        <w:rPr>
          <w:rFonts w:cs="Times New Roman"/>
        </w:rPr>
        <w:t>”</w:t>
      </w:r>
      <w:r w:rsidR="00987F1E" w:rsidRPr="005D529F">
        <w:rPr>
          <w:rFonts w:cs="Times New Roman"/>
        </w:rPr>
        <w:t xml:space="preserve"> alude a </w:t>
      </w:r>
      <w:r w:rsidR="007C03E4" w:rsidRPr="005D529F">
        <w:rPr>
          <w:rFonts w:cs="Times New Roman"/>
        </w:rPr>
        <w:t xml:space="preserve">un estado el que nos encontramos particularmente alegres o contentos, no eufóricos (hipertimia), pero tampoco deprimidos (hipotimia). Un estado de alegría placentera que se corresponde bien con el </w:t>
      </w:r>
      <w:r w:rsidR="00C818F7" w:rsidRPr="005D529F">
        <w:rPr>
          <w:rFonts w:cs="Times New Roman"/>
        </w:rPr>
        <w:t>particular hedonismo democríteo:</w:t>
      </w:r>
      <w:r w:rsidR="007C03E4" w:rsidRPr="005D529F">
        <w:rPr>
          <w:rFonts w:cs="Times New Roman"/>
        </w:rPr>
        <w:t xml:space="preserve"> selectivo, moderado y racional (Fallas</w:t>
      </w:r>
      <w:r w:rsidR="001D5D20" w:rsidRPr="005D529F">
        <w:rPr>
          <w:rFonts w:cs="Times New Roman"/>
        </w:rPr>
        <w:t xml:space="preserve"> López</w:t>
      </w:r>
      <w:r w:rsidR="007C03E4" w:rsidRPr="005D529F">
        <w:rPr>
          <w:rFonts w:cs="Times New Roman"/>
        </w:rPr>
        <w:t>, 2008).</w:t>
      </w:r>
    </w:p>
    <w:p w14:paraId="28E686DC" w14:textId="77777777" w:rsidR="0000205E" w:rsidRDefault="00C818F7" w:rsidP="005D529F">
      <w:pPr>
        <w:rPr>
          <w:rFonts w:cs="Times New Roman"/>
          <w:lang w:val="es-ES"/>
        </w:rPr>
      </w:pPr>
      <w:r w:rsidRPr="005D529F">
        <w:rPr>
          <w:rFonts w:cs="Times New Roman"/>
          <w:iCs/>
          <w:lang w:val="es-ES"/>
        </w:rPr>
        <w:t>Demócrito, en el fragmento 191</w:t>
      </w:r>
      <w:r w:rsidR="00FC0B7F" w:rsidRPr="005D529F">
        <w:rPr>
          <w:rFonts w:cs="Times New Roman"/>
          <w:iCs/>
          <w:lang w:val="es-ES"/>
        </w:rPr>
        <w:t xml:space="preserve"> DK (</w:t>
      </w:r>
      <w:r w:rsidRPr="005D529F">
        <w:rPr>
          <w:rFonts w:cs="Times New Roman"/>
          <w:iCs/>
          <w:lang w:val="es-ES"/>
        </w:rPr>
        <w:t>numeración de Diels y Kranz</w:t>
      </w:r>
      <w:r w:rsidR="00FC0B7F" w:rsidRPr="005D529F">
        <w:rPr>
          <w:rFonts w:cs="Times New Roman"/>
          <w:iCs/>
          <w:lang w:val="es-ES"/>
        </w:rPr>
        <w:t>)</w:t>
      </w:r>
      <w:r w:rsidRPr="005D529F">
        <w:rPr>
          <w:rFonts w:cs="Times New Roman"/>
          <w:iCs/>
          <w:lang w:val="es-ES"/>
        </w:rPr>
        <w:t>, afirma: “A los hombres les adviene el buen ánimo a través de un goce moderado y una vida adecuada. Las deficiencias y los excesos tienden a transformarse en sus opuestos y a causar grandes conmociones en el alma y las almas movidas por grandes agitaciones ni están equilibradas ni son animosas. Preciso es, pues, ocuparse de lo que se puede y contentarse con lo que se tiene, mostrar escaso interés por los que son envidiados o admirados y no estar cerca de ellos con el pensamiento</w:t>
      </w:r>
      <w:r w:rsidR="00641B67" w:rsidRPr="005D529F">
        <w:rPr>
          <w:rFonts w:cs="Times New Roman"/>
          <w:iCs/>
          <w:lang w:val="es-ES"/>
        </w:rPr>
        <w:t xml:space="preserve"> ... .</w:t>
      </w:r>
      <w:r w:rsidRPr="005D529F">
        <w:rPr>
          <w:rFonts w:cs="Times New Roman"/>
          <w:iCs/>
          <w:lang w:val="es-ES"/>
        </w:rPr>
        <w:t xml:space="preserve">Debe uno congratularse a sí mismo con la reflexión sobre cómo obra y soporta mejor que los otros sus sufrimientos. Si te adhieres a este parecer, vivirás con mejor ánimo y evitarás no pocas calamidades en la vida </w:t>
      </w:r>
      <w:r w:rsidRPr="005D529F">
        <w:rPr>
          <w:rFonts w:cs="Times New Roman"/>
          <w:lang w:val="es-ES"/>
        </w:rPr>
        <w:t>—</w:t>
      </w:r>
      <w:r w:rsidRPr="005D529F">
        <w:rPr>
          <w:rFonts w:cs="Times New Roman"/>
          <w:iCs/>
          <w:lang w:val="es-ES"/>
        </w:rPr>
        <w:t>la envidia, los celos y la malevolencia</w:t>
      </w:r>
      <w:r w:rsidR="004859CA" w:rsidRPr="005D529F">
        <w:rPr>
          <w:rFonts w:cs="Times New Roman"/>
          <w:iCs/>
          <w:lang w:val="es-ES"/>
        </w:rPr>
        <w:t>”</w:t>
      </w:r>
      <w:r w:rsidRPr="005D529F">
        <w:rPr>
          <w:rFonts w:cs="Times New Roman"/>
          <w:iCs/>
          <w:lang w:val="es-ES"/>
        </w:rPr>
        <w:t>.</w:t>
      </w:r>
      <w:r w:rsidR="00641B67" w:rsidRPr="005D529F">
        <w:rPr>
          <w:rFonts w:cs="Times New Roman"/>
          <w:iCs/>
          <w:lang w:val="es-ES"/>
        </w:rPr>
        <w:t xml:space="preserve"> </w:t>
      </w:r>
      <w:r w:rsidR="000A7CCF" w:rsidRPr="005D529F">
        <w:rPr>
          <w:rFonts w:cs="Times New Roman"/>
          <w:iCs/>
          <w:lang w:val="es-ES"/>
        </w:rPr>
        <w:t xml:space="preserve">En </w:t>
      </w:r>
      <w:r w:rsidR="00C23FCE" w:rsidRPr="005D529F">
        <w:rPr>
          <w:rFonts w:cs="Times New Roman"/>
          <w:iCs/>
          <w:lang w:val="es-ES"/>
        </w:rPr>
        <w:t xml:space="preserve">el </w:t>
      </w:r>
      <w:r w:rsidR="000A7CCF" w:rsidRPr="005D529F">
        <w:rPr>
          <w:rFonts w:cs="Times New Roman"/>
          <w:iCs/>
          <w:lang w:val="es-ES"/>
        </w:rPr>
        <w:t>fr.</w:t>
      </w:r>
      <w:r w:rsidR="004859CA" w:rsidRPr="005D529F">
        <w:rPr>
          <w:rFonts w:cs="Times New Roman"/>
          <w:iCs/>
          <w:lang w:val="es-ES"/>
        </w:rPr>
        <w:t xml:space="preserve"> 3 DK sostiene: “Preciso es que quien quiera tener buen ánimo no sea activo en demasía, ni privada ni públicamente, ni que emprenda acciones superiores a su capacidad natural. Debe, más bien, tener una precaución tal que, </w:t>
      </w:r>
      <w:r w:rsidR="004859CA" w:rsidRPr="005D529F">
        <w:rPr>
          <w:rFonts w:cs="Times New Roman"/>
          <w:iCs/>
          <w:lang w:val="es-ES"/>
        </w:rPr>
        <w:lastRenderedPageBreak/>
        <w:t>aunque el azar le impulse a más, lo rechace en su decisión y no acometa más de lo que es capaz, pues la carga adecuada es más segura que la grande” (</w:t>
      </w:r>
      <w:r w:rsidR="00215B90" w:rsidRPr="005D529F">
        <w:rPr>
          <w:rFonts w:cs="Times New Roman"/>
          <w:iCs/>
          <w:lang w:val="es-ES"/>
        </w:rPr>
        <w:t>Kirk et al</w:t>
      </w:r>
      <w:r w:rsidR="005910B4" w:rsidRPr="005D529F">
        <w:rPr>
          <w:rFonts w:cs="Times New Roman"/>
          <w:iCs/>
          <w:lang w:val="es-ES"/>
        </w:rPr>
        <w:t>.</w:t>
      </w:r>
      <w:r w:rsidR="00215B90" w:rsidRPr="005D529F">
        <w:rPr>
          <w:rFonts w:cs="Times New Roman"/>
          <w:iCs/>
          <w:lang w:val="es-ES"/>
        </w:rPr>
        <w:t>, XX)</w:t>
      </w:r>
      <w:r w:rsidR="004859CA" w:rsidRPr="005D529F">
        <w:rPr>
          <w:rFonts w:cs="Times New Roman"/>
          <w:iCs/>
          <w:lang w:val="es-ES"/>
        </w:rPr>
        <w:t>.</w:t>
      </w:r>
    </w:p>
    <w:p w14:paraId="0A8C6986" w14:textId="77777777" w:rsidR="0000205E" w:rsidRDefault="00776339" w:rsidP="005D529F">
      <w:pPr>
        <w:rPr>
          <w:rFonts w:cs="Times New Roman"/>
        </w:rPr>
      </w:pPr>
      <w:r w:rsidRPr="005D529F">
        <w:rPr>
          <w:rFonts w:cs="Times New Roman"/>
          <w:lang w:val="es-ES"/>
        </w:rPr>
        <w:t>Para Demócrito las emociones cumplen una función de señal:</w:t>
      </w:r>
      <w:r w:rsidR="000A7CCF" w:rsidRPr="005D529F">
        <w:rPr>
          <w:rFonts w:cs="Times New Roman"/>
          <w:lang w:val="es-ES"/>
        </w:rPr>
        <w:t xml:space="preserve"> </w:t>
      </w:r>
      <w:r w:rsidRPr="005D529F">
        <w:rPr>
          <w:rFonts w:cs="Times New Roman"/>
          <w:lang w:val="es-ES"/>
        </w:rPr>
        <w:t>“La frontera entre lo que conviene y no conviene es el agrado y el desagrado” (fr. 188 DK). El deleite y el disfrute son esenciales: “Los insensatos viven sin gozar la vida” (fr. 200 DK); “Una vida sin fiestas es un largo camino sin posadas” (fr. 230 DK ). Pero el buen ánimo, que constituye el fin de la vida</w:t>
      </w:r>
      <w:r w:rsidR="00535F3F" w:rsidRPr="005D529F">
        <w:rPr>
          <w:rFonts w:cs="Times New Roman"/>
          <w:lang w:val="es-ES"/>
        </w:rPr>
        <w:t xml:space="preserve"> ordenada, se logra con moderación, no </w:t>
      </w:r>
      <w:r w:rsidRPr="005D529F">
        <w:rPr>
          <w:rFonts w:cs="Times New Roman"/>
          <w:lang w:val="es-ES"/>
        </w:rPr>
        <w:t xml:space="preserve">satisfaciendo todos los deseos ni </w:t>
      </w:r>
      <w:r w:rsidR="00535F3F" w:rsidRPr="005D529F">
        <w:rPr>
          <w:rFonts w:cs="Times New Roman"/>
          <w:lang w:val="es-ES"/>
        </w:rPr>
        <w:t>colmando la vida de placeres:</w:t>
      </w:r>
      <w:r w:rsidRPr="005D529F">
        <w:rPr>
          <w:rFonts w:cs="Times New Roman"/>
          <w:lang w:val="es-ES"/>
        </w:rPr>
        <w:t xml:space="preserve"> </w:t>
      </w:r>
      <w:r w:rsidR="000A7CCF" w:rsidRPr="005D529F">
        <w:rPr>
          <w:rFonts w:cs="Times New Roman"/>
          <w:lang w:val="es-ES"/>
        </w:rPr>
        <w:t>“Lo mejor para el hombre es pasar la vida lo más contento y lo menos afligido que pueda. Ello sería posible si los placeres no se basaran en c</w:t>
      </w:r>
      <w:r w:rsidR="00535F3F" w:rsidRPr="005D529F">
        <w:rPr>
          <w:rFonts w:cs="Times New Roman"/>
          <w:lang w:val="es-ES"/>
        </w:rPr>
        <w:t>osas perecederas” (fr. 189 DK);</w:t>
      </w:r>
      <w:r w:rsidRPr="005D529F">
        <w:rPr>
          <w:rFonts w:cs="Times New Roman"/>
          <w:lang w:val="es-ES"/>
        </w:rPr>
        <w:t xml:space="preserve"> </w:t>
      </w:r>
      <w:r w:rsidR="00535F3F" w:rsidRPr="005D529F">
        <w:rPr>
          <w:rFonts w:cs="Times New Roman"/>
          <w:lang w:val="es-ES"/>
        </w:rPr>
        <w:t>“Si se sobrepasa la medida, lo más agradable se torna en lo más desagradable” (fr. 233 DK); “La moderación acrecienta los placeres y hace mayor el gozo” (fr. 211 DK); “No todo placer debe elegirse, sino solo el que va unido a lo bello” (fr. 207 DK). “Los cerdos se gozan en el estiércol” (fr. 147 DK)</w:t>
      </w:r>
      <w:r w:rsidR="00DA009E" w:rsidRPr="005D529F">
        <w:rPr>
          <w:rFonts w:cs="Times New Roman"/>
          <w:lang w:val="es-ES"/>
        </w:rPr>
        <w:t>.“Pobreza y riqueza</w:t>
      </w:r>
      <w:r w:rsidR="002B1DEC" w:rsidRPr="005D529F">
        <w:rPr>
          <w:rFonts w:cs="Times New Roman"/>
          <w:lang w:val="es-ES"/>
        </w:rPr>
        <w:t xml:space="preserve"> son designaciones de la carencia y de la abundancia. Por tanto, ni es rico el que carece ni pobre el que no carece” (fr. 283 DK).</w:t>
      </w:r>
    </w:p>
    <w:p w14:paraId="1B77B454" w14:textId="77777777" w:rsidR="0000205E" w:rsidRDefault="003121E0" w:rsidP="005D529F">
      <w:pPr>
        <w:rPr>
          <w:rFonts w:cs="Times New Roman"/>
        </w:rPr>
      </w:pPr>
      <w:r w:rsidRPr="005D529F">
        <w:rPr>
          <w:rFonts w:cs="Times New Roman"/>
        </w:rPr>
        <w:t>El logro de</w:t>
      </w:r>
      <w:r w:rsidR="00626D0F" w:rsidRPr="005D529F">
        <w:rPr>
          <w:rFonts w:cs="Times New Roman"/>
        </w:rPr>
        <w:t>l buen ánimo, del</w:t>
      </w:r>
      <w:r w:rsidRPr="005D529F">
        <w:rPr>
          <w:rFonts w:cs="Times New Roman"/>
        </w:rPr>
        <w:t xml:space="preserve"> </w:t>
      </w:r>
      <w:r w:rsidR="006F5B84" w:rsidRPr="005D529F">
        <w:rPr>
          <w:rFonts w:cs="Times New Roman"/>
        </w:rPr>
        <w:t>bienestar subjetivo</w:t>
      </w:r>
      <w:r w:rsidRPr="005D529F">
        <w:rPr>
          <w:rFonts w:cs="Times New Roman"/>
        </w:rPr>
        <w:t>,</w:t>
      </w:r>
      <w:r w:rsidR="006F5B84" w:rsidRPr="005D529F">
        <w:rPr>
          <w:rFonts w:cs="Times New Roman"/>
        </w:rPr>
        <w:t xml:space="preserve"> </w:t>
      </w:r>
      <w:r w:rsidR="00626D0F" w:rsidRPr="005D529F">
        <w:rPr>
          <w:rFonts w:cs="Times New Roman"/>
        </w:rPr>
        <w:t>de la satisfacción o el gozo</w:t>
      </w:r>
      <w:r w:rsidR="009B670F" w:rsidRPr="005D529F">
        <w:rPr>
          <w:rFonts w:cs="Times New Roman"/>
        </w:rPr>
        <w:t xml:space="preserve"> </w:t>
      </w:r>
      <w:r w:rsidR="006F5B84" w:rsidRPr="005D529F">
        <w:rPr>
          <w:rFonts w:cs="Times New Roman"/>
        </w:rPr>
        <w:t xml:space="preserve">que Demócrito </w:t>
      </w:r>
      <w:r w:rsidRPr="005D529F">
        <w:rPr>
          <w:rFonts w:cs="Times New Roman"/>
        </w:rPr>
        <w:t xml:space="preserve">propone </w:t>
      </w:r>
      <w:r w:rsidR="006F5B84" w:rsidRPr="005D529F">
        <w:rPr>
          <w:rFonts w:cs="Times New Roman"/>
        </w:rPr>
        <w:t>como criterio último de la calidad de vida, no es en modo alguno</w:t>
      </w:r>
      <w:r w:rsidRPr="005D529F">
        <w:rPr>
          <w:rFonts w:cs="Times New Roman"/>
        </w:rPr>
        <w:t xml:space="preserve"> ajeno al logro de la calidad social</w:t>
      </w:r>
      <w:r w:rsidR="00410499" w:rsidRPr="005D529F">
        <w:rPr>
          <w:rFonts w:cs="Times New Roman"/>
        </w:rPr>
        <w:t>:</w:t>
      </w:r>
      <w:r w:rsidR="00AB1A6D" w:rsidRPr="005D529F">
        <w:rPr>
          <w:rFonts w:cs="Times New Roman"/>
        </w:rPr>
        <w:t xml:space="preserve"> “En pez compartido no hay espinas” (fr. 151).</w:t>
      </w:r>
      <w:r w:rsidR="009B670F" w:rsidRPr="005D529F">
        <w:rPr>
          <w:rFonts w:cs="Times New Roman"/>
        </w:rPr>
        <w:t xml:space="preserve"> “En un notable pasaje dice que, cuando las clases elevadas son generosas, útiles y beneficiosas para con el pobre, la compasión, la solidaridad, camaradería, asistencia mutua y armonía</w:t>
      </w:r>
      <w:r w:rsidR="00AB1A6D" w:rsidRPr="005D529F">
        <w:rPr>
          <w:rFonts w:cs="Times New Roman"/>
        </w:rPr>
        <w:t xml:space="preserve"> resultantes son incalculablemente beneficiosas (fr. 255 DK). Él es un demócrata, para quién la pobreza en una democracia libre es mejor que la prosperidad bajo un mandato aristocrático y autoritario (fr. 251 DK)” (Guthrie, 1986</w:t>
      </w:r>
      <w:r w:rsidR="00975E73" w:rsidRPr="005D529F">
        <w:rPr>
          <w:rFonts w:cs="Times New Roman"/>
        </w:rPr>
        <w:t>:501</w:t>
      </w:r>
      <w:r w:rsidR="00AB1A6D" w:rsidRPr="005D529F">
        <w:rPr>
          <w:rFonts w:cs="Times New Roman"/>
        </w:rPr>
        <w:t>). Así, afirma taxativo: “... una ciudad bien encaminada comporta el máximo bienestar y en ella se encuentra todo; y si ella subsiste, todo subsiste; pero si se arruina, todo se arruina” (fr. 252 D</w:t>
      </w:r>
      <w:r w:rsidR="00975E73" w:rsidRPr="005D529F">
        <w:rPr>
          <w:rFonts w:cs="Times New Roman"/>
        </w:rPr>
        <w:t>K).</w:t>
      </w:r>
    </w:p>
    <w:p w14:paraId="35459D0E" w14:textId="32007AD5" w:rsidR="008B69BB" w:rsidRPr="00494F71" w:rsidRDefault="00ED1412" w:rsidP="00494F71">
      <w:pPr>
        <w:rPr>
          <w:rFonts w:cs="Times New Roman"/>
        </w:rPr>
      </w:pPr>
      <w:r w:rsidRPr="005D529F">
        <w:rPr>
          <w:rFonts w:cs="Times New Roman"/>
        </w:rPr>
        <w:t>E</w:t>
      </w:r>
      <w:r w:rsidR="00F33B25" w:rsidRPr="005D529F">
        <w:rPr>
          <w:rFonts w:cs="Times New Roman"/>
        </w:rPr>
        <w:t xml:space="preserve">l buen ánimo </w:t>
      </w:r>
      <w:r w:rsidRPr="005D529F">
        <w:rPr>
          <w:rFonts w:cs="Times New Roman"/>
        </w:rPr>
        <w:t>adviene en la a</w:t>
      </w:r>
      <w:r w:rsidR="00D728D2" w:rsidRPr="005D529F">
        <w:rPr>
          <w:rFonts w:cs="Times New Roman"/>
        </w:rPr>
        <w:t>mistad, la concordia, el respeto, la ley y</w:t>
      </w:r>
      <w:r w:rsidRPr="005D529F">
        <w:rPr>
          <w:rFonts w:cs="Times New Roman"/>
        </w:rPr>
        <w:t>, fundamentalmente, evitando la injust</w:t>
      </w:r>
      <w:r w:rsidR="00D728D2" w:rsidRPr="005D529F">
        <w:rPr>
          <w:rFonts w:cs="Times New Roman"/>
        </w:rPr>
        <w:t>icia, la envidia y la vergüenza: “Vivir no merece la pena para quien no tiene ni siquiera un buen amigo” (fr. 99 DK); “Toda rivalidad es insensata, pues, pendiente como está del daño del enemigo, no mira por el propio beneficio” (fr. 237 DK); “El que se siente satisfecho y emprende acciones justas y legítimas está contento, tanto en vela como en sueños, y se encuentra amistoso y despreocupado. En cambio, al que menosprecia la justicia y no hace lo debido, todo ello lo entristece cuando le viene a mientes, está asustado y se hace daño a sí mismo” (fr. 174 DK). “El que agravia es más infeliz que el agraviado” (fr. 45</w:t>
      </w:r>
      <w:r w:rsidR="00361FB8" w:rsidRPr="005D529F">
        <w:rPr>
          <w:rFonts w:cs="Times New Roman"/>
        </w:rPr>
        <w:t xml:space="preserve"> DK); “El envidioso se aflige a sí mismo como a un enemigo” (fr. 88 DK); “El que comete acciones vergonzosas debe avergonzarse primero de sí mismo” (fr. 84 DK) </w:t>
      </w:r>
      <w:r w:rsidR="00361FB8" w:rsidRPr="005D529F">
        <w:rPr>
          <w:rFonts w:cs="Times New Roman"/>
          <w:lang w:val="es-ES"/>
        </w:rPr>
        <w:t>(Bernabé, 1988</w:t>
      </w:r>
      <w:r w:rsidR="00653592" w:rsidRPr="005D529F">
        <w:rPr>
          <w:rFonts w:cs="Times New Roman"/>
          <w:lang w:val="es-ES"/>
        </w:rPr>
        <w:t>:305</w:t>
      </w:r>
      <w:r w:rsidR="00361FB8" w:rsidRPr="005D529F">
        <w:rPr>
          <w:rFonts w:cs="Times New Roman"/>
          <w:lang w:val="es-ES"/>
        </w:rPr>
        <w:t>).</w:t>
      </w:r>
    </w:p>
    <w:p w14:paraId="2A6503BE" w14:textId="77777777" w:rsidR="0000205E" w:rsidRDefault="00016317" w:rsidP="008B69BB">
      <w:pPr>
        <w:pStyle w:val="Ttulo2"/>
      </w:pPr>
      <w:bookmarkStart w:id="23" w:name="_Toc311991782"/>
      <w:bookmarkStart w:id="24" w:name="_Toc311993011"/>
      <w:r w:rsidRPr="005D529F">
        <w:lastRenderedPageBreak/>
        <w:t>1.</w:t>
      </w:r>
      <w:r w:rsidR="00306291" w:rsidRPr="005D529F">
        <w:t xml:space="preserve">5 </w:t>
      </w:r>
      <w:r w:rsidR="00142A0B" w:rsidRPr="005D529F">
        <w:t xml:space="preserve"> </w:t>
      </w:r>
      <w:r w:rsidR="00AA7BB1" w:rsidRPr="005D529F">
        <w:t>La feli</w:t>
      </w:r>
      <w:r w:rsidR="00591AA6" w:rsidRPr="005D529F">
        <w:t xml:space="preserve">cidad como correspondencia entre posibilidad y </w:t>
      </w:r>
      <w:r w:rsidR="00AA7BB1" w:rsidRPr="005D529F">
        <w:t>realidad</w:t>
      </w:r>
      <w:bookmarkEnd w:id="23"/>
      <w:bookmarkEnd w:id="24"/>
    </w:p>
    <w:p w14:paraId="3070C82C" w14:textId="77777777" w:rsidR="0000205E" w:rsidRDefault="00E23638" w:rsidP="005D529F">
      <w:pPr>
        <w:rPr>
          <w:rFonts w:cs="Times New Roman"/>
        </w:rPr>
      </w:pPr>
      <w:r w:rsidRPr="005D529F">
        <w:rPr>
          <w:rFonts w:cs="Times New Roman"/>
        </w:rPr>
        <w:t>Aristóteles nos dice</w:t>
      </w:r>
      <w:r w:rsidR="00084CAF" w:rsidRPr="005D529F">
        <w:rPr>
          <w:rFonts w:cs="Times New Roman"/>
        </w:rPr>
        <w:t xml:space="preserve"> que casi todo el mundo está de acuerdo</w:t>
      </w:r>
      <w:r w:rsidRPr="005D529F">
        <w:rPr>
          <w:rFonts w:cs="Times New Roman"/>
        </w:rPr>
        <w:t xml:space="preserve"> en que el bien práctico su</w:t>
      </w:r>
      <w:r w:rsidR="00CC114B" w:rsidRPr="005D529F">
        <w:rPr>
          <w:rFonts w:cs="Times New Roman"/>
        </w:rPr>
        <w:t xml:space="preserve">premo es la felicidad, </w:t>
      </w:r>
      <w:r w:rsidRPr="005D529F">
        <w:rPr>
          <w:rFonts w:cs="Times New Roman"/>
        </w:rPr>
        <w:t>vivir bien y obrar bien</w:t>
      </w:r>
      <w:r w:rsidR="009A1C85" w:rsidRPr="005D529F">
        <w:rPr>
          <w:rFonts w:cs="Times New Roman"/>
        </w:rPr>
        <w:t xml:space="preserve">, </w:t>
      </w:r>
      <w:r w:rsidR="00CC114B" w:rsidRPr="005D529F">
        <w:rPr>
          <w:rFonts w:cs="Times New Roman"/>
        </w:rPr>
        <w:t xml:space="preserve">esto es, </w:t>
      </w:r>
      <w:r w:rsidR="009A1C85" w:rsidRPr="005D529F">
        <w:rPr>
          <w:rFonts w:cs="Times New Roman"/>
        </w:rPr>
        <w:t>llevar una buena vida y una vida buena</w:t>
      </w:r>
      <w:r w:rsidR="00F87900" w:rsidRPr="005D529F">
        <w:rPr>
          <w:rFonts w:cs="Times New Roman"/>
        </w:rPr>
        <w:t xml:space="preserve">. Sin embargo, </w:t>
      </w:r>
      <w:r w:rsidRPr="005D529F">
        <w:rPr>
          <w:rFonts w:cs="Times New Roman"/>
        </w:rPr>
        <w:t>no todo el mundo entiende la felicidad de</w:t>
      </w:r>
      <w:r w:rsidR="00CC114B" w:rsidRPr="005D529F">
        <w:rPr>
          <w:rFonts w:cs="Times New Roman"/>
        </w:rPr>
        <w:t>l mismo modo</w:t>
      </w:r>
      <w:r w:rsidRPr="005D529F">
        <w:rPr>
          <w:rFonts w:cs="Times New Roman"/>
        </w:rPr>
        <w:t xml:space="preserve">. </w:t>
      </w:r>
      <w:r w:rsidR="002E55F9" w:rsidRPr="005D529F">
        <w:rPr>
          <w:rFonts w:cs="Times New Roman"/>
        </w:rPr>
        <w:t xml:space="preserve">Con total franqueza se expresaron </w:t>
      </w:r>
      <w:r w:rsidR="00CC114B" w:rsidRPr="005D529F">
        <w:rPr>
          <w:rFonts w:cs="Times New Roman"/>
        </w:rPr>
        <w:t xml:space="preserve">ante el </w:t>
      </w:r>
      <w:r w:rsidRPr="005D529F">
        <w:rPr>
          <w:rFonts w:cs="Times New Roman"/>
        </w:rPr>
        <w:t>los dos hermanos de</w:t>
      </w:r>
      <w:r w:rsidR="00F87900" w:rsidRPr="005D529F">
        <w:rPr>
          <w:rFonts w:cs="Times New Roman"/>
        </w:rPr>
        <w:t xml:space="preserve"> Tse-ch’an, para quienes </w:t>
      </w:r>
      <w:r w:rsidR="00CC114B" w:rsidRPr="005D529F">
        <w:rPr>
          <w:rFonts w:cs="Times New Roman"/>
        </w:rPr>
        <w:t xml:space="preserve">el verdadero </w:t>
      </w:r>
      <w:r w:rsidR="002E55F9" w:rsidRPr="005D529F">
        <w:rPr>
          <w:rFonts w:cs="Times New Roman"/>
        </w:rPr>
        <w:t xml:space="preserve">vivir consiste en satisfacer todos los instintos y gozar de </w:t>
      </w:r>
      <w:r w:rsidR="00F87900" w:rsidRPr="005D529F">
        <w:rPr>
          <w:rFonts w:cs="Times New Roman"/>
        </w:rPr>
        <w:t>los placeres corporales</w:t>
      </w:r>
      <w:r w:rsidR="002E55F9" w:rsidRPr="005D529F">
        <w:rPr>
          <w:rFonts w:cs="Times New Roman"/>
        </w:rPr>
        <w:t xml:space="preserve">. Entre </w:t>
      </w:r>
      <w:r w:rsidR="00935E61" w:rsidRPr="005D529F">
        <w:rPr>
          <w:rFonts w:cs="Times New Roman"/>
        </w:rPr>
        <w:t>las escuelas filosóficas de la A</w:t>
      </w:r>
      <w:r w:rsidR="002E55F9" w:rsidRPr="005D529F">
        <w:rPr>
          <w:rFonts w:cs="Times New Roman"/>
        </w:rPr>
        <w:t>ntigüed</w:t>
      </w:r>
      <w:r w:rsidR="00935E61" w:rsidRPr="005D529F">
        <w:rPr>
          <w:rFonts w:cs="Times New Roman"/>
        </w:rPr>
        <w:t>a</w:t>
      </w:r>
      <w:r w:rsidR="002E55F9" w:rsidRPr="005D529F">
        <w:rPr>
          <w:rFonts w:cs="Times New Roman"/>
        </w:rPr>
        <w:t xml:space="preserve">d </w:t>
      </w:r>
      <w:r w:rsidR="00CC114B" w:rsidRPr="005D529F">
        <w:rPr>
          <w:rFonts w:cs="Times New Roman"/>
        </w:rPr>
        <w:t xml:space="preserve">también </w:t>
      </w:r>
      <w:r w:rsidR="00935E61" w:rsidRPr="005D529F">
        <w:rPr>
          <w:rFonts w:cs="Times New Roman"/>
        </w:rPr>
        <w:t>cabe distinguir dos tendencia</w:t>
      </w:r>
      <w:r w:rsidR="002E55F9" w:rsidRPr="005D529F">
        <w:rPr>
          <w:rFonts w:cs="Times New Roman"/>
        </w:rPr>
        <w:t>s</w:t>
      </w:r>
      <w:r w:rsidR="00335E84" w:rsidRPr="005D529F">
        <w:rPr>
          <w:rFonts w:cs="Times New Roman"/>
        </w:rPr>
        <w:t>, aunque no complemente enfrentadas</w:t>
      </w:r>
      <w:r w:rsidR="008F0821" w:rsidRPr="005D529F">
        <w:rPr>
          <w:rFonts w:cs="Times New Roman"/>
        </w:rPr>
        <w:t xml:space="preserve"> (Hadot, 2013). De una parte</w:t>
      </w:r>
      <w:r w:rsidR="00935E61" w:rsidRPr="005D529F">
        <w:rPr>
          <w:rFonts w:cs="Times New Roman"/>
        </w:rPr>
        <w:t xml:space="preserve"> la tradición socrática, </w:t>
      </w:r>
      <w:r w:rsidR="008F0821" w:rsidRPr="005D529F">
        <w:rPr>
          <w:rFonts w:cs="Times New Roman"/>
        </w:rPr>
        <w:t>continuada</w:t>
      </w:r>
      <w:r w:rsidR="001C7A91" w:rsidRPr="005D529F">
        <w:rPr>
          <w:rFonts w:cs="Times New Roman"/>
        </w:rPr>
        <w:t xml:space="preserve"> por Platón, Aristóteles, Plotino y los estoicos, </w:t>
      </w:r>
      <w:r w:rsidR="00935E61" w:rsidRPr="005D529F">
        <w:rPr>
          <w:rFonts w:cs="Times New Roman"/>
        </w:rPr>
        <w:t>según la cual la felicidad se realiza, en última instancia, por el amor al Bien</w:t>
      </w:r>
      <w:r w:rsidR="00AF7114" w:rsidRPr="005D529F">
        <w:rPr>
          <w:rFonts w:cs="Times New Roman"/>
        </w:rPr>
        <w:t xml:space="preserve"> (eudaimonismo)</w:t>
      </w:r>
      <w:r w:rsidR="008F0821" w:rsidRPr="005D529F">
        <w:rPr>
          <w:rFonts w:cs="Times New Roman"/>
        </w:rPr>
        <w:t>, y de</w:t>
      </w:r>
      <w:r w:rsidR="001C7A91" w:rsidRPr="005D529F">
        <w:rPr>
          <w:rFonts w:cs="Times New Roman"/>
        </w:rPr>
        <w:t xml:space="preserve"> otra la </w:t>
      </w:r>
      <w:r w:rsidR="00935E61" w:rsidRPr="005D529F">
        <w:rPr>
          <w:rFonts w:cs="Times New Roman"/>
        </w:rPr>
        <w:t>tr</w:t>
      </w:r>
      <w:r w:rsidR="001C7A91" w:rsidRPr="005D529F">
        <w:rPr>
          <w:rFonts w:cs="Times New Roman"/>
        </w:rPr>
        <w:t>a</w:t>
      </w:r>
      <w:r w:rsidR="00935E61" w:rsidRPr="005D529F">
        <w:rPr>
          <w:rFonts w:cs="Times New Roman"/>
        </w:rPr>
        <w:t>dición epicúrea</w:t>
      </w:r>
      <w:r w:rsidR="00AF7114" w:rsidRPr="005D529F">
        <w:rPr>
          <w:rFonts w:cs="Times New Roman"/>
        </w:rPr>
        <w:t xml:space="preserve">, </w:t>
      </w:r>
      <w:r w:rsidR="008F0821" w:rsidRPr="005D529F">
        <w:rPr>
          <w:rFonts w:cs="Times New Roman"/>
        </w:rPr>
        <w:t>según la cual</w:t>
      </w:r>
      <w:r w:rsidR="00AF7114" w:rsidRPr="005D529F">
        <w:rPr>
          <w:rFonts w:cs="Times New Roman"/>
        </w:rPr>
        <w:t xml:space="preserve"> la felicidad </w:t>
      </w:r>
      <w:r w:rsidR="001C7A91" w:rsidRPr="005D529F">
        <w:rPr>
          <w:rFonts w:cs="Times New Roman"/>
        </w:rPr>
        <w:t xml:space="preserve">reside en el </w:t>
      </w:r>
      <w:r w:rsidR="00AF7114" w:rsidRPr="005D529F">
        <w:rPr>
          <w:rFonts w:cs="Times New Roman"/>
        </w:rPr>
        <w:t xml:space="preserve">gozo y en </w:t>
      </w:r>
      <w:r w:rsidR="001C7A91" w:rsidRPr="005D529F">
        <w:rPr>
          <w:rFonts w:cs="Times New Roman"/>
        </w:rPr>
        <w:t xml:space="preserve">placer </w:t>
      </w:r>
      <w:r w:rsidR="008F0821" w:rsidRPr="005D529F">
        <w:rPr>
          <w:rFonts w:cs="Times New Roman"/>
        </w:rPr>
        <w:t xml:space="preserve">(hedonismo), </w:t>
      </w:r>
      <w:r w:rsidR="00C16E76" w:rsidRPr="005D529F">
        <w:rPr>
          <w:rFonts w:cs="Times New Roman"/>
        </w:rPr>
        <w:t xml:space="preserve">tradición </w:t>
      </w:r>
      <w:r w:rsidR="00BB1171" w:rsidRPr="005D529F">
        <w:rPr>
          <w:rFonts w:cs="Times New Roman"/>
        </w:rPr>
        <w:t xml:space="preserve">iniciada por Demócrito y </w:t>
      </w:r>
      <w:r w:rsidR="00DB699D" w:rsidRPr="005D529F">
        <w:rPr>
          <w:rFonts w:cs="Times New Roman"/>
        </w:rPr>
        <w:t xml:space="preserve">por </w:t>
      </w:r>
      <w:r w:rsidR="00CC114B" w:rsidRPr="005D529F">
        <w:rPr>
          <w:rFonts w:cs="Times New Roman"/>
        </w:rPr>
        <w:t>Arístipo</w:t>
      </w:r>
      <w:r w:rsidR="00297E64" w:rsidRPr="005D529F">
        <w:rPr>
          <w:rFonts w:cs="Times New Roman"/>
        </w:rPr>
        <w:t>.</w:t>
      </w:r>
    </w:p>
    <w:p w14:paraId="557FF302" w14:textId="77777777" w:rsidR="0000205E" w:rsidRDefault="001F47E8" w:rsidP="005D529F">
      <w:pPr>
        <w:rPr>
          <w:rFonts w:cs="Times New Roman"/>
        </w:rPr>
      </w:pPr>
      <w:r w:rsidRPr="005D529F">
        <w:rPr>
          <w:rFonts w:cs="Times New Roman"/>
        </w:rPr>
        <w:t>Hedoné (placer, gozo), Eudaimonía (felicidad</w:t>
      </w:r>
      <w:r w:rsidR="00166287" w:rsidRPr="005D529F">
        <w:rPr>
          <w:rFonts w:cs="Times New Roman"/>
        </w:rPr>
        <w:t>, excelencia</w:t>
      </w:r>
      <w:r w:rsidRPr="005D529F">
        <w:rPr>
          <w:rFonts w:cs="Times New Roman"/>
        </w:rPr>
        <w:t xml:space="preserve">) y Euthymía </w:t>
      </w:r>
      <w:r w:rsidR="00166287" w:rsidRPr="005D529F">
        <w:rPr>
          <w:rFonts w:cs="Times New Roman"/>
        </w:rPr>
        <w:t xml:space="preserve">(buen ánimo, contento) </w:t>
      </w:r>
      <w:r w:rsidR="008D2DB6" w:rsidRPr="005D529F">
        <w:rPr>
          <w:rFonts w:cs="Times New Roman"/>
        </w:rPr>
        <w:t xml:space="preserve">constituyen tres modelos o ideas </w:t>
      </w:r>
      <w:r w:rsidRPr="005D529F">
        <w:rPr>
          <w:rFonts w:cs="Times New Roman"/>
        </w:rPr>
        <w:t>de la felicidad.</w:t>
      </w:r>
      <w:r w:rsidR="009A1C85" w:rsidRPr="005D529F">
        <w:rPr>
          <w:rFonts w:cs="Times New Roman"/>
        </w:rPr>
        <w:t xml:space="preserve"> Pero</w:t>
      </w:r>
      <w:r w:rsidR="00B267A6" w:rsidRPr="005D529F">
        <w:rPr>
          <w:rFonts w:cs="Times New Roman"/>
        </w:rPr>
        <w:t xml:space="preserve">, ¿hay algo subyacente a todos ellos, algún substrato común que </w:t>
      </w:r>
      <w:r w:rsidR="00572A3B" w:rsidRPr="005D529F">
        <w:rPr>
          <w:rFonts w:cs="Times New Roman"/>
        </w:rPr>
        <w:t xml:space="preserve">animando la </w:t>
      </w:r>
      <w:r w:rsidR="00B267A6" w:rsidRPr="005D529F">
        <w:rPr>
          <w:rFonts w:cs="Times New Roman"/>
        </w:rPr>
        <w:t>naturaleza humana</w:t>
      </w:r>
      <w:r w:rsidR="00572A3B" w:rsidRPr="005D529F">
        <w:rPr>
          <w:rFonts w:cs="Times New Roman"/>
        </w:rPr>
        <w:t xml:space="preserve"> </w:t>
      </w:r>
      <w:r w:rsidR="00166287" w:rsidRPr="005D529F">
        <w:rPr>
          <w:rFonts w:cs="Times New Roman"/>
        </w:rPr>
        <w:t>explique la</w:t>
      </w:r>
      <w:r w:rsidR="00C35D85" w:rsidRPr="005D529F">
        <w:rPr>
          <w:rFonts w:cs="Times New Roman"/>
        </w:rPr>
        <w:t xml:space="preserve"> </w:t>
      </w:r>
      <w:r w:rsidR="00166287" w:rsidRPr="005D529F">
        <w:rPr>
          <w:rFonts w:cs="Times New Roman"/>
        </w:rPr>
        <w:t xml:space="preserve">relevancia y </w:t>
      </w:r>
      <w:r w:rsidR="003B0B86" w:rsidRPr="005D529F">
        <w:rPr>
          <w:rFonts w:cs="Times New Roman"/>
        </w:rPr>
        <w:t xml:space="preserve">la tensión </w:t>
      </w:r>
      <w:r w:rsidR="00166287" w:rsidRPr="005D529F">
        <w:rPr>
          <w:rFonts w:cs="Times New Roman"/>
        </w:rPr>
        <w:t>contenida en el anhelo de</w:t>
      </w:r>
      <w:r w:rsidR="00C35D85" w:rsidRPr="005D529F">
        <w:rPr>
          <w:rFonts w:cs="Times New Roman"/>
        </w:rPr>
        <w:t xml:space="preserve"> felicidad</w:t>
      </w:r>
      <w:r w:rsidR="00B267A6" w:rsidRPr="005D529F">
        <w:rPr>
          <w:rFonts w:cs="Times New Roman"/>
        </w:rPr>
        <w:t xml:space="preserve">? </w:t>
      </w:r>
      <w:r w:rsidR="00974798" w:rsidRPr="005D529F">
        <w:rPr>
          <w:rFonts w:cs="Times New Roman"/>
        </w:rPr>
        <w:t>E</w:t>
      </w:r>
      <w:r w:rsidR="00AF1389" w:rsidRPr="005D529F">
        <w:rPr>
          <w:rFonts w:cs="Times New Roman"/>
        </w:rPr>
        <w:t xml:space="preserve">l filósofo </w:t>
      </w:r>
      <w:r w:rsidR="00C35D85" w:rsidRPr="005D529F">
        <w:rPr>
          <w:rFonts w:cs="Times New Roman"/>
        </w:rPr>
        <w:t>Emilio Lledó</w:t>
      </w:r>
      <w:r w:rsidR="00AF1389" w:rsidRPr="005D529F">
        <w:rPr>
          <w:rFonts w:cs="Times New Roman"/>
        </w:rPr>
        <w:t xml:space="preserve"> </w:t>
      </w:r>
      <w:r w:rsidR="00974798" w:rsidRPr="005D529F">
        <w:rPr>
          <w:rFonts w:cs="Times New Roman"/>
        </w:rPr>
        <w:t>ofrece al respecto una respuesta preclara</w:t>
      </w:r>
      <w:r w:rsidR="00AF1389" w:rsidRPr="005D529F">
        <w:rPr>
          <w:rFonts w:cs="Times New Roman"/>
        </w:rPr>
        <w:t>: “La felicidad emerge de un permanente estado de vigilia en el que, a distintos niveles de conciencia, se plantea la necesidad de una correspondencia entre la posibilidad y la realidad, entre la armonía del cuerpo y el espacio histórico concreto, donde éste se desarrolla y alienta”</w:t>
      </w:r>
      <w:r w:rsidR="00BD7E85" w:rsidRPr="005D529F">
        <w:rPr>
          <w:rFonts w:cs="Times New Roman"/>
        </w:rPr>
        <w:t>. “La felicidad lleva consigo su propia negación, la amenaza de su posible ausencia. Probablemente toda la terminología de la felicidad, todo el campo semántico por el que se desp</w:t>
      </w:r>
      <w:r w:rsidR="006978BF" w:rsidRPr="005D529F">
        <w:rPr>
          <w:rFonts w:cs="Times New Roman"/>
        </w:rPr>
        <w:t>laza, presenta un doble rostro”</w:t>
      </w:r>
      <w:r w:rsidR="00BD7E85" w:rsidRPr="005D529F">
        <w:rPr>
          <w:rFonts w:cs="Times New Roman"/>
        </w:rPr>
        <w:t xml:space="preserve">. Por </w:t>
      </w:r>
      <w:r w:rsidR="00D407B6" w:rsidRPr="005D529F">
        <w:rPr>
          <w:rFonts w:cs="Times New Roman"/>
        </w:rPr>
        <w:t>un lado, la fortuna y la suerte;</w:t>
      </w:r>
      <w:r w:rsidR="00BD7E85" w:rsidRPr="005D529F">
        <w:rPr>
          <w:rFonts w:cs="Times New Roman"/>
        </w:rPr>
        <w:t xml:space="preserve"> por otro, las voluntades y los proyectos humanos. Por u</w:t>
      </w:r>
      <w:r w:rsidR="00D407B6" w:rsidRPr="005D529F">
        <w:rPr>
          <w:rFonts w:cs="Times New Roman"/>
        </w:rPr>
        <w:t xml:space="preserve">n lado, los dioses en su </w:t>
      </w:r>
      <w:r w:rsidR="006978BF" w:rsidRPr="005D529F">
        <w:rPr>
          <w:rFonts w:cs="Times New Roman"/>
        </w:rPr>
        <w:t xml:space="preserve">etérea y </w:t>
      </w:r>
      <w:r w:rsidR="00D407B6" w:rsidRPr="005D529F">
        <w:rPr>
          <w:rFonts w:cs="Times New Roman"/>
        </w:rPr>
        <w:t>prístina perfecció</w:t>
      </w:r>
      <w:r w:rsidR="00BD7E85" w:rsidRPr="005D529F">
        <w:rPr>
          <w:rFonts w:cs="Times New Roman"/>
        </w:rPr>
        <w:t>n</w:t>
      </w:r>
      <w:r w:rsidR="00D407B6" w:rsidRPr="005D529F">
        <w:rPr>
          <w:rFonts w:cs="Times New Roman"/>
        </w:rPr>
        <w:t xml:space="preserve">; </w:t>
      </w:r>
      <w:r w:rsidR="00595B5F" w:rsidRPr="005D529F">
        <w:rPr>
          <w:rFonts w:cs="Times New Roman"/>
        </w:rPr>
        <w:t>por otro, la imperfecta corporeidad de las personas</w:t>
      </w:r>
      <w:r w:rsidR="00D407B6" w:rsidRPr="005D529F">
        <w:rPr>
          <w:rFonts w:cs="Times New Roman"/>
        </w:rPr>
        <w:t xml:space="preserve">. Por un lado, la naturaleza </w:t>
      </w:r>
      <w:r w:rsidR="006978BF" w:rsidRPr="005D529F">
        <w:rPr>
          <w:rFonts w:cs="Times New Roman"/>
        </w:rPr>
        <w:t xml:space="preserve">pura; por otro, los deseos y </w:t>
      </w:r>
      <w:r w:rsidR="00D407B6" w:rsidRPr="005D529F">
        <w:rPr>
          <w:rFonts w:cs="Times New Roman"/>
        </w:rPr>
        <w:t xml:space="preserve">tensiones que </w:t>
      </w:r>
      <w:r w:rsidR="00595B5F" w:rsidRPr="005D529F">
        <w:rPr>
          <w:rFonts w:cs="Times New Roman"/>
        </w:rPr>
        <w:t>tejen</w:t>
      </w:r>
      <w:r w:rsidR="00D407B6" w:rsidRPr="005D529F">
        <w:rPr>
          <w:rFonts w:cs="Times New Roman"/>
        </w:rPr>
        <w:t xml:space="preserve"> la realidad </w:t>
      </w:r>
      <w:r w:rsidR="006978BF" w:rsidRPr="005D529F">
        <w:rPr>
          <w:rFonts w:cs="Times New Roman"/>
        </w:rPr>
        <w:t>humana</w:t>
      </w:r>
      <w:r w:rsidR="00595B5F" w:rsidRPr="005D529F">
        <w:rPr>
          <w:rFonts w:cs="Times New Roman"/>
        </w:rPr>
        <w:t xml:space="preserve"> con leyes de naturaleza,  cultura, sociedad, economía, política e </w:t>
      </w:r>
      <w:r w:rsidR="00D407B6" w:rsidRPr="005D529F">
        <w:rPr>
          <w:rFonts w:cs="Times New Roman"/>
        </w:rPr>
        <w:t>his</w:t>
      </w:r>
      <w:r w:rsidR="00811D21" w:rsidRPr="005D529F">
        <w:rPr>
          <w:rFonts w:cs="Times New Roman"/>
        </w:rPr>
        <w:t>toria</w:t>
      </w:r>
      <w:r w:rsidR="006978BF" w:rsidRPr="005D529F">
        <w:rPr>
          <w:rFonts w:cs="Times New Roman"/>
        </w:rPr>
        <w:t xml:space="preserve"> (Lledó, 2011: 63-64)</w:t>
      </w:r>
      <w:r w:rsidR="00811D21" w:rsidRPr="005D529F">
        <w:rPr>
          <w:rFonts w:cs="Times New Roman"/>
        </w:rPr>
        <w:t xml:space="preserve">. La energía que </w:t>
      </w:r>
      <w:r w:rsidR="00D407B6" w:rsidRPr="005D529F">
        <w:rPr>
          <w:rFonts w:cs="Times New Roman"/>
        </w:rPr>
        <w:t>nutre la eterna lucha de</w:t>
      </w:r>
      <w:r w:rsidR="00595B5F" w:rsidRPr="005D529F">
        <w:rPr>
          <w:rFonts w:cs="Times New Roman"/>
        </w:rPr>
        <w:t xml:space="preserve"> los seres humanos</w:t>
      </w:r>
      <w:r w:rsidR="00D407B6" w:rsidRPr="005D529F">
        <w:rPr>
          <w:rFonts w:cs="Times New Roman"/>
        </w:rPr>
        <w:t xml:space="preserve"> </w:t>
      </w:r>
      <w:r w:rsidR="00595B5F" w:rsidRPr="005D529F">
        <w:rPr>
          <w:rFonts w:cs="Times New Roman"/>
        </w:rPr>
        <w:t>por la felicidad es el permanente y omnipresente anhelo que les</w:t>
      </w:r>
      <w:r w:rsidR="00811D21" w:rsidRPr="005D529F">
        <w:rPr>
          <w:rFonts w:cs="Times New Roman"/>
        </w:rPr>
        <w:t xml:space="preserve"> </w:t>
      </w:r>
      <w:r w:rsidR="00D407B6" w:rsidRPr="005D529F">
        <w:rPr>
          <w:rFonts w:cs="Times New Roman"/>
        </w:rPr>
        <w:t xml:space="preserve">impulsa </w:t>
      </w:r>
      <w:r w:rsidR="00811D21" w:rsidRPr="005D529F">
        <w:rPr>
          <w:rFonts w:cs="Times New Roman"/>
        </w:rPr>
        <w:t>a la plena realización de sus potencialidades</w:t>
      </w:r>
      <w:r w:rsidR="005645D1" w:rsidRPr="005D529F">
        <w:rPr>
          <w:rFonts w:cs="Times New Roman"/>
        </w:rPr>
        <w:t xml:space="preserve"> naturales</w:t>
      </w:r>
      <w:r w:rsidR="00811D21" w:rsidRPr="005D529F">
        <w:rPr>
          <w:rFonts w:cs="Times New Roman"/>
        </w:rPr>
        <w:t>.</w:t>
      </w:r>
      <w:r w:rsidR="005645D1" w:rsidRPr="005D529F">
        <w:rPr>
          <w:rFonts w:cs="Times New Roman"/>
        </w:rPr>
        <w:t xml:space="preserve"> Este es, también, el sentido íntimo de la virtud </w:t>
      </w:r>
      <w:r w:rsidR="00124D3E" w:rsidRPr="005D529F">
        <w:rPr>
          <w:rFonts w:cs="Times New Roman"/>
        </w:rPr>
        <w:t>según Aristóteles,</w:t>
      </w:r>
      <w:r w:rsidR="005645D1" w:rsidRPr="005D529F">
        <w:rPr>
          <w:rFonts w:cs="Times New Roman"/>
        </w:rPr>
        <w:t xml:space="preserve"> areté</w:t>
      </w:r>
      <w:r w:rsidR="002E4870" w:rsidRPr="005D529F">
        <w:rPr>
          <w:rFonts w:cs="Times New Roman"/>
        </w:rPr>
        <w:t xml:space="preserve">, </w:t>
      </w:r>
      <w:r w:rsidR="005645D1" w:rsidRPr="005D529F">
        <w:rPr>
          <w:rFonts w:cs="Times New Roman"/>
        </w:rPr>
        <w:t>excelencia en la acción,</w:t>
      </w:r>
      <w:r w:rsidR="002E4870" w:rsidRPr="005D529F">
        <w:rPr>
          <w:rFonts w:cs="Times New Roman"/>
        </w:rPr>
        <w:t xml:space="preserve"> </w:t>
      </w:r>
      <w:r w:rsidR="00BE2270" w:rsidRPr="005D529F">
        <w:rPr>
          <w:rFonts w:cs="Times New Roman"/>
        </w:rPr>
        <w:t xml:space="preserve">actividad </w:t>
      </w:r>
      <w:r w:rsidR="00124D3E" w:rsidRPr="005D529F">
        <w:rPr>
          <w:rFonts w:cs="Times New Roman"/>
        </w:rPr>
        <w:t>óptima en cada circunstancia,</w:t>
      </w:r>
      <w:r w:rsidR="00BE2270" w:rsidRPr="005D529F">
        <w:rPr>
          <w:rFonts w:cs="Times New Roman"/>
        </w:rPr>
        <w:t xml:space="preserve"> confección del mejor calzado </w:t>
      </w:r>
      <w:r w:rsidR="002E4870" w:rsidRPr="005D529F">
        <w:rPr>
          <w:rFonts w:cs="Times New Roman"/>
        </w:rPr>
        <w:t>con el cuero disponible.</w:t>
      </w:r>
      <w:r w:rsidR="005645D1" w:rsidRPr="005D529F">
        <w:rPr>
          <w:rFonts w:cs="Times New Roman"/>
        </w:rPr>
        <w:t xml:space="preserve"> </w:t>
      </w:r>
      <w:r w:rsidR="00BE2270" w:rsidRPr="005D529F">
        <w:rPr>
          <w:rFonts w:cs="Times New Roman"/>
        </w:rPr>
        <w:t xml:space="preserve">Por ello el </w:t>
      </w:r>
      <w:r w:rsidR="0054228D" w:rsidRPr="005D529F">
        <w:rPr>
          <w:rFonts w:cs="Times New Roman"/>
        </w:rPr>
        <w:t xml:space="preserve">cumplimiento de lo </w:t>
      </w:r>
      <w:r w:rsidR="00BE2270" w:rsidRPr="005D529F">
        <w:rPr>
          <w:rFonts w:cs="Times New Roman"/>
        </w:rPr>
        <w:t xml:space="preserve">más conforme </w:t>
      </w:r>
      <w:r w:rsidR="0054228D" w:rsidRPr="005D529F">
        <w:rPr>
          <w:rFonts w:cs="Times New Roman"/>
        </w:rPr>
        <w:t>a la naturaleza</w:t>
      </w:r>
      <w:r w:rsidR="00603883" w:rsidRPr="005D529F">
        <w:rPr>
          <w:rFonts w:cs="Times New Roman"/>
        </w:rPr>
        <w:t xml:space="preserve"> </w:t>
      </w:r>
      <w:r w:rsidR="00BE2270" w:rsidRPr="005D529F">
        <w:rPr>
          <w:rFonts w:cs="Times New Roman"/>
        </w:rPr>
        <w:t>de cada ser, la virtud, es lo mejor y lo más agradable</w:t>
      </w:r>
      <w:r w:rsidR="00603883" w:rsidRPr="005D529F">
        <w:rPr>
          <w:rFonts w:cs="Times New Roman"/>
        </w:rPr>
        <w:t>.</w:t>
      </w:r>
      <w:r w:rsidR="00BE2270" w:rsidRPr="005D529F">
        <w:rPr>
          <w:rFonts w:cs="Times New Roman"/>
        </w:rPr>
        <w:t xml:space="preserve"> </w:t>
      </w:r>
      <w:r w:rsidR="008D2DB6" w:rsidRPr="005D529F">
        <w:rPr>
          <w:rFonts w:cs="Times New Roman"/>
        </w:rPr>
        <w:t>Quizá</w:t>
      </w:r>
      <w:r w:rsidR="00B60FCA" w:rsidRPr="005D529F">
        <w:rPr>
          <w:rFonts w:cs="Times New Roman"/>
        </w:rPr>
        <w:t xml:space="preserve"> </w:t>
      </w:r>
      <w:r w:rsidR="004A5EDB" w:rsidRPr="005D529F">
        <w:rPr>
          <w:rFonts w:cs="Times New Roman"/>
        </w:rPr>
        <w:t>Pí</w:t>
      </w:r>
      <w:r w:rsidR="00142C9C" w:rsidRPr="005D529F">
        <w:rPr>
          <w:rFonts w:cs="Times New Roman"/>
        </w:rPr>
        <w:t xml:space="preserve">ndaro, el gran poeta griego, </w:t>
      </w:r>
      <w:r w:rsidR="00104485" w:rsidRPr="005D529F">
        <w:rPr>
          <w:rFonts w:cs="Times New Roman"/>
        </w:rPr>
        <w:t xml:space="preserve">pensaba en nuestra </w:t>
      </w:r>
      <w:r w:rsidR="004A5EDB" w:rsidRPr="005D529F">
        <w:rPr>
          <w:rFonts w:cs="Times New Roman"/>
        </w:rPr>
        <w:t>felicidad</w:t>
      </w:r>
      <w:r w:rsidR="00B60FCA" w:rsidRPr="005D529F">
        <w:rPr>
          <w:rFonts w:cs="Times New Roman"/>
        </w:rPr>
        <w:t xml:space="preserve"> al </w:t>
      </w:r>
      <w:r w:rsidR="00142C9C" w:rsidRPr="005D529F">
        <w:rPr>
          <w:rFonts w:cs="Times New Roman"/>
        </w:rPr>
        <w:t>exhortarnos, “No aspires a la vida inmortal, pero agota el campo de lo posible</w:t>
      </w:r>
      <w:r w:rsidR="00672636" w:rsidRPr="005D529F">
        <w:rPr>
          <w:rFonts w:cs="Times New Roman"/>
        </w:rPr>
        <w:t>”</w:t>
      </w:r>
      <w:r w:rsidR="00142C9C" w:rsidRPr="005D529F">
        <w:rPr>
          <w:rFonts w:cs="Times New Roman"/>
        </w:rPr>
        <w:t>.</w:t>
      </w:r>
    </w:p>
    <w:p w14:paraId="469B2EA9" w14:textId="77777777" w:rsidR="0000205E" w:rsidRDefault="004E18F2" w:rsidP="005D529F">
      <w:pPr>
        <w:rPr>
          <w:rFonts w:cs="Times New Roman"/>
        </w:rPr>
      </w:pPr>
      <w:r w:rsidRPr="005D529F">
        <w:rPr>
          <w:rFonts w:cs="Times New Roman"/>
        </w:rPr>
        <w:t xml:space="preserve">La </w:t>
      </w:r>
      <w:r w:rsidR="00AA717C" w:rsidRPr="005D529F">
        <w:rPr>
          <w:rFonts w:cs="Times New Roman"/>
        </w:rPr>
        <w:t>vida de</w:t>
      </w:r>
      <w:r w:rsidRPr="005D529F">
        <w:rPr>
          <w:rFonts w:cs="Times New Roman"/>
        </w:rPr>
        <w:t xml:space="preserve"> los seres humanos</w:t>
      </w:r>
      <w:r w:rsidR="00AA717C" w:rsidRPr="005D529F">
        <w:rPr>
          <w:rFonts w:cs="Times New Roman"/>
        </w:rPr>
        <w:t xml:space="preserve"> está </w:t>
      </w:r>
      <w:r w:rsidR="00F63085" w:rsidRPr="005D529F">
        <w:rPr>
          <w:rFonts w:cs="Times New Roman"/>
        </w:rPr>
        <w:t>vertebrada</w:t>
      </w:r>
      <w:r w:rsidR="00AA717C" w:rsidRPr="005D529F">
        <w:rPr>
          <w:rFonts w:cs="Times New Roman"/>
        </w:rPr>
        <w:t xml:space="preserve"> por m</w:t>
      </w:r>
      <w:r w:rsidR="00F63085" w:rsidRPr="005D529F">
        <w:rPr>
          <w:rFonts w:cs="Times New Roman"/>
        </w:rPr>
        <w:t>últiples límites y limitaciones, pero ello</w:t>
      </w:r>
      <w:r w:rsidR="00AA717C" w:rsidRPr="005D529F">
        <w:rPr>
          <w:rFonts w:cs="Times New Roman"/>
        </w:rPr>
        <w:t xml:space="preserve"> no les impide soñar</w:t>
      </w:r>
      <w:r w:rsidR="00F63085" w:rsidRPr="005D529F">
        <w:rPr>
          <w:rFonts w:cs="Times New Roman"/>
        </w:rPr>
        <w:t xml:space="preserve">: desean alcanzar </w:t>
      </w:r>
      <w:r w:rsidR="00375D00" w:rsidRPr="005D529F">
        <w:rPr>
          <w:rFonts w:cs="Times New Roman"/>
        </w:rPr>
        <w:t>el</w:t>
      </w:r>
      <w:r w:rsidR="00AA717C" w:rsidRPr="005D529F">
        <w:rPr>
          <w:rFonts w:cs="Times New Roman"/>
        </w:rPr>
        <w:t xml:space="preserve"> </w:t>
      </w:r>
      <w:r w:rsidR="00375D00" w:rsidRPr="005D529F">
        <w:rPr>
          <w:rFonts w:cs="Times New Roman"/>
        </w:rPr>
        <w:t>máximo</w:t>
      </w:r>
      <w:r w:rsidR="00AA717C" w:rsidRPr="005D529F">
        <w:rPr>
          <w:rFonts w:cs="Times New Roman"/>
        </w:rPr>
        <w:t xml:space="preserve"> g</w:t>
      </w:r>
      <w:r w:rsidR="00375D00" w:rsidRPr="005D529F">
        <w:rPr>
          <w:rFonts w:cs="Times New Roman"/>
        </w:rPr>
        <w:t xml:space="preserve">rado de correspondencia </w:t>
      </w:r>
      <w:r w:rsidR="00AA717C" w:rsidRPr="005D529F">
        <w:rPr>
          <w:rFonts w:cs="Times New Roman"/>
        </w:rPr>
        <w:t xml:space="preserve">entre </w:t>
      </w:r>
      <w:r w:rsidR="00375D00" w:rsidRPr="005D529F">
        <w:rPr>
          <w:rFonts w:cs="Times New Roman"/>
        </w:rPr>
        <w:t>sus p</w:t>
      </w:r>
      <w:r w:rsidR="00F63085" w:rsidRPr="005D529F">
        <w:rPr>
          <w:rFonts w:cs="Times New Roman"/>
        </w:rPr>
        <w:t xml:space="preserve">otencialidades naturales, </w:t>
      </w:r>
      <w:r w:rsidR="00375D00" w:rsidRPr="005D529F">
        <w:rPr>
          <w:rFonts w:cs="Times New Roman"/>
        </w:rPr>
        <w:t xml:space="preserve">sus posibilidades y la realidad. </w:t>
      </w:r>
      <w:r w:rsidR="00F63085" w:rsidRPr="005D529F">
        <w:rPr>
          <w:rFonts w:cs="Times New Roman"/>
        </w:rPr>
        <w:t xml:space="preserve">En la medida que lo consigan se sentirán felices; en caso contrario, </w:t>
      </w:r>
      <w:r w:rsidR="005E7C43" w:rsidRPr="005D529F">
        <w:rPr>
          <w:rFonts w:cs="Times New Roman"/>
        </w:rPr>
        <w:t>sufrirán</w:t>
      </w:r>
      <w:r w:rsidR="00F63085" w:rsidRPr="005D529F">
        <w:rPr>
          <w:rFonts w:cs="Times New Roman"/>
        </w:rPr>
        <w:t xml:space="preserve"> </w:t>
      </w:r>
      <w:r w:rsidR="005E7C43" w:rsidRPr="005D529F">
        <w:rPr>
          <w:rFonts w:cs="Times New Roman"/>
        </w:rPr>
        <w:t xml:space="preserve">en carne propia la </w:t>
      </w:r>
      <w:r w:rsidR="00C1257B" w:rsidRPr="005D529F">
        <w:rPr>
          <w:rFonts w:cs="Times New Roman"/>
        </w:rPr>
        <w:t>desdicha</w:t>
      </w:r>
      <w:r w:rsidR="005E7C43" w:rsidRPr="005D529F">
        <w:rPr>
          <w:rFonts w:cs="Times New Roman"/>
        </w:rPr>
        <w:t xml:space="preserve"> y el infortunio.</w:t>
      </w:r>
      <w:r w:rsidR="00F63085" w:rsidRPr="005D529F">
        <w:rPr>
          <w:rFonts w:cs="Times New Roman"/>
        </w:rPr>
        <w:t xml:space="preserve"> </w:t>
      </w:r>
      <w:r w:rsidR="0054228D" w:rsidRPr="005D529F">
        <w:rPr>
          <w:rFonts w:cs="Times New Roman"/>
        </w:rPr>
        <w:t xml:space="preserve">De ahí </w:t>
      </w:r>
      <w:r w:rsidR="00800C85" w:rsidRPr="005D529F">
        <w:rPr>
          <w:rFonts w:cs="Times New Roman"/>
        </w:rPr>
        <w:t>los afanes por crear y mejorar</w:t>
      </w:r>
      <w:r w:rsidR="005E7C43" w:rsidRPr="005D529F">
        <w:rPr>
          <w:rFonts w:cs="Times New Roman"/>
        </w:rPr>
        <w:t xml:space="preserve"> </w:t>
      </w:r>
      <w:r w:rsidR="005645D1" w:rsidRPr="005D529F">
        <w:rPr>
          <w:rFonts w:cs="Times New Roman"/>
        </w:rPr>
        <w:t>su</w:t>
      </w:r>
      <w:r w:rsidR="0040086D" w:rsidRPr="005D529F">
        <w:rPr>
          <w:rFonts w:cs="Times New Roman"/>
        </w:rPr>
        <w:t>s</w:t>
      </w:r>
      <w:r w:rsidR="005645D1" w:rsidRPr="005D529F">
        <w:rPr>
          <w:rFonts w:cs="Times New Roman"/>
        </w:rPr>
        <w:t xml:space="preserve"> condiciones de posibilidad.</w:t>
      </w:r>
      <w:r w:rsidR="00596A07" w:rsidRPr="005D529F">
        <w:rPr>
          <w:rFonts w:cs="Times New Roman"/>
        </w:rPr>
        <w:t xml:space="preserve"> </w:t>
      </w:r>
      <w:r w:rsidR="00375D00" w:rsidRPr="005D529F">
        <w:rPr>
          <w:rFonts w:cs="Times New Roman"/>
        </w:rPr>
        <w:t xml:space="preserve">Los seres humanos </w:t>
      </w:r>
      <w:r w:rsidR="00375D00" w:rsidRPr="005D529F">
        <w:rPr>
          <w:rFonts w:cs="Times New Roman"/>
        </w:rPr>
        <w:lastRenderedPageBreak/>
        <w:t xml:space="preserve">anhelan </w:t>
      </w:r>
      <w:r w:rsidR="0054228D" w:rsidRPr="005D529F">
        <w:rPr>
          <w:rFonts w:cs="Times New Roman"/>
        </w:rPr>
        <w:t>la felicidad</w:t>
      </w:r>
      <w:r w:rsidR="00375D00" w:rsidRPr="005D529F">
        <w:rPr>
          <w:rFonts w:cs="Times New Roman"/>
        </w:rPr>
        <w:t xml:space="preserve">, </w:t>
      </w:r>
      <w:r w:rsidR="0054228D" w:rsidRPr="005D529F">
        <w:rPr>
          <w:rFonts w:cs="Times New Roman"/>
        </w:rPr>
        <w:t>mas</w:t>
      </w:r>
      <w:r w:rsidR="00375D00" w:rsidRPr="005D529F">
        <w:rPr>
          <w:rFonts w:cs="Times New Roman"/>
        </w:rPr>
        <w:t xml:space="preserve"> no siempre la consiguen, no todos la consiguen. Algunos, al menos durante cierto tiempo, </w:t>
      </w:r>
      <w:r w:rsidR="0054228D" w:rsidRPr="005D529F">
        <w:rPr>
          <w:rFonts w:cs="Times New Roman"/>
        </w:rPr>
        <w:t>llegarán a ser</w:t>
      </w:r>
      <w:r w:rsidR="00375D00" w:rsidRPr="005D529F">
        <w:rPr>
          <w:rFonts w:cs="Times New Roman"/>
        </w:rPr>
        <w:t xml:space="preserve"> felices; otros, al contrario, </w:t>
      </w:r>
      <w:r w:rsidR="0054228D" w:rsidRPr="005D529F">
        <w:rPr>
          <w:rFonts w:cs="Times New Roman"/>
        </w:rPr>
        <w:t xml:space="preserve">quedarán </w:t>
      </w:r>
      <w:r w:rsidR="005E7C43" w:rsidRPr="005D529F">
        <w:rPr>
          <w:rFonts w:cs="Times New Roman"/>
        </w:rPr>
        <w:t>algunas veces</w:t>
      </w:r>
      <w:r w:rsidR="0054228D" w:rsidRPr="005D529F">
        <w:rPr>
          <w:rFonts w:cs="Times New Roman"/>
        </w:rPr>
        <w:t xml:space="preserve">, o quizás </w:t>
      </w:r>
      <w:r w:rsidR="005E7C43" w:rsidRPr="005D529F">
        <w:rPr>
          <w:rFonts w:cs="Times New Roman"/>
        </w:rPr>
        <w:t xml:space="preserve">casi </w:t>
      </w:r>
      <w:r w:rsidR="0054228D" w:rsidRPr="005D529F">
        <w:rPr>
          <w:rFonts w:cs="Times New Roman"/>
        </w:rPr>
        <w:t>siempre,</w:t>
      </w:r>
      <w:r w:rsidR="00375D00" w:rsidRPr="005D529F">
        <w:rPr>
          <w:rFonts w:cs="Times New Roman"/>
        </w:rPr>
        <w:t xml:space="preserve"> excluidos de la felicidad.</w:t>
      </w:r>
    </w:p>
    <w:p w14:paraId="5333F437" w14:textId="289A682C" w:rsidR="00254CFC" w:rsidRPr="005D529F" w:rsidRDefault="00F10C4E" w:rsidP="005D529F">
      <w:pPr>
        <w:rPr>
          <w:rFonts w:cs="Times New Roman"/>
        </w:rPr>
      </w:pPr>
      <w:r w:rsidRPr="005D529F">
        <w:rPr>
          <w:rFonts w:cs="Times New Roman"/>
        </w:rPr>
        <w:t xml:space="preserve">La presencia </w:t>
      </w:r>
      <w:r w:rsidR="00A37D8D" w:rsidRPr="005D529F">
        <w:rPr>
          <w:rFonts w:cs="Times New Roman"/>
        </w:rPr>
        <w:t xml:space="preserve">o ausencia de felicidad, </w:t>
      </w:r>
      <w:r w:rsidRPr="005D529F">
        <w:rPr>
          <w:rFonts w:cs="Times New Roman"/>
        </w:rPr>
        <w:t xml:space="preserve">al igual que sucede con otras emociones, </w:t>
      </w:r>
      <w:r w:rsidR="004B6F8B" w:rsidRPr="005D529F">
        <w:rPr>
          <w:rFonts w:cs="Times New Roman"/>
        </w:rPr>
        <w:t>bien</w:t>
      </w:r>
      <w:r w:rsidRPr="005D529F">
        <w:rPr>
          <w:rFonts w:cs="Times New Roman"/>
        </w:rPr>
        <w:t xml:space="preserve"> el miedo, la vergüenza, el orgullo, la an</w:t>
      </w:r>
      <w:r w:rsidR="00114498" w:rsidRPr="005D529F">
        <w:rPr>
          <w:rFonts w:cs="Times New Roman"/>
        </w:rPr>
        <w:t>s</w:t>
      </w:r>
      <w:r w:rsidR="00A37D8D" w:rsidRPr="005D529F">
        <w:rPr>
          <w:rFonts w:cs="Times New Roman"/>
        </w:rPr>
        <w:t>iedad o el horror, cumple</w:t>
      </w:r>
      <w:r w:rsidRPr="005D529F">
        <w:rPr>
          <w:rFonts w:cs="Times New Roman"/>
        </w:rPr>
        <w:t xml:space="preserve"> una función de señal, </w:t>
      </w:r>
      <w:r w:rsidR="00A37D8D" w:rsidRPr="005D529F">
        <w:rPr>
          <w:rFonts w:cs="Times New Roman"/>
        </w:rPr>
        <w:t>configura</w:t>
      </w:r>
      <w:r w:rsidR="00A31DD1" w:rsidRPr="005D529F">
        <w:rPr>
          <w:rFonts w:cs="Times New Roman"/>
        </w:rPr>
        <w:t>n</w:t>
      </w:r>
      <w:r w:rsidR="00A37D8D" w:rsidRPr="005D529F">
        <w:rPr>
          <w:rFonts w:cs="Times New Roman"/>
        </w:rPr>
        <w:t xml:space="preserve"> un</w:t>
      </w:r>
      <w:r w:rsidRPr="005D529F">
        <w:rPr>
          <w:rFonts w:cs="Times New Roman"/>
        </w:rPr>
        <w:t xml:space="preserve"> estado de conciencia que nos informa o nos </w:t>
      </w:r>
      <w:r w:rsidR="00114498" w:rsidRPr="005D529F">
        <w:rPr>
          <w:rFonts w:cs="Times New Roman"/>
        </w:rPr>
        <w:t>alerta</w:t>
      </w:r>
      <w:r w:rsidRPr="005D529F">
        <w:rPr>
          <w:rFonts w:cs="Times New Roman"/>
        </w:rPr>
        <w:t xml:space="preserve"> de algo. </w:t>
      </w:r>
      <w:r w:rsidR="00A37D8D" w:rsidRPr="005D529F">
        <w:rPr>
          <w:rFonts w:cs="Times New Roman"/>
        </w:rPr>
        <w:t xml:space="preserve">Así, teniendo en cuenta que </w:t>
      </w:r>
      <w:r w:rsidR="00114498" w:rsidRPr="005D529F">
        <w:rPr>
          <w:rFonts w:cs="Times New Roman"/>
        </w:rPr>
        <w:t xml:space="preserve"> “las emociones</w:t>
      </w:r>
      <w:r w:rsidRPr="005D529F">
        <w:rPr>
          <w:rFonts w:cs="Times New Roman"/>
        </w:rPr>
        <w:t xml:space="preserve"> </w:t>
      </w:r>
      <w:r w:rsidR="00114498" w:rsidRPr="005D529F">
        <w:rPr>
          <w:rFonts w:cs="Times New Roman"/>
          <w:iCs/>
          <w:lang w:val="es-ES"/>
        </w:rPr>
        <w:t>constituyen la manifestación corporal de la relevancia que para el sujeto tiene algún hecho del mundo natural o social” (Bericat, 2012)</w:t>
      </w:r>
      <w:r w:rsidR="00114498" w:rsidRPr="005D529F">
        <w:rPr>
          <w:rFonts w:cs="Times New Roman"/>
          <w:lang w:val="es-ES"/>
        </w:rPr>
        <w:t xml:space="preserve">, podríamos preguntarnos de qué nos informa o alerta el sentimiento de felicidad. </w:t>
      </w:r>
      <w:r w:rsidR="00237A16" w:rsidRPr="005D529F">
        <w:rPr>
          <w:rFonts w:cs="Times New Roman"/>
          <w:lang w:val="es-ES"/>
        </w:rPr>
        <w:t xml:space="preserve">Siguiendo a </w:t>
      </w:r>
      <w:r w:rsidR="00D64C1E" w:rsidRPr="005D529F">
        <w:rPr>
          <w:rFonts w:cs="Times New Roman"/>
          <w:lang w:val="es-ES"/>
        </w:rPr>
        <w:t xml:space="preserve">Lledó, </w:t>
      </w:r>
      <w:r w:rsidR="00237A16" w:rsidRPr="005D529F">
        <w:rPr>
          <w:rFonts w:cs="Times New Roman"/>
          <w:lang w:val="es-ES"/>
        </w:rPr>
        <w:t xml:space="preserve">diríamos que </w:t>
      </w:r>
      <w:r w:rsidR="00D64C1E" w:rsidRPr="005D529F">
        <w:rPr>
          <w:rFonts w:cs="Times New Roman"/>
          <w:lang w:val="es-ES"/>
        </w:rPr>
        <w:t>el placer, la felicidad, el gozo o el buen ánimo nos informa</w:t>
      </w:r>
      <w:r w:rsidR="00237A16" w:rsidRPr="005D529F">
        <w:rPr>
          <w:rFonts w:cs="Times New Roman"/>
          <w:lang w:val="es-ES"/>
        </w:rPr>
        <w:t>n</w:t>
      </w:r>
      <w:r w:rsidR="00D64C1E" w:rsidRPr="005D529F">
        <w:rPr>
          <w:rFonts w:cs="Times New Roman"/>
          <w:lang w:val="es-ES"/>
        </w:rPr>
        <w:t xml:space="preserve"> de la </w:t>
      </w:r>
      <w:r w:rsidR="00237A16" w:rsidRPr="005D529F">
        <w:rPr>
          <w:rFonts w:cs="Times New Roman"/>
          <w:lang w:val="es-ES"/>
        </w:rPr>
        <w:t>adecuación</w:t>
      </w:r>
      <w:r w:rsidR="00D64C1E" w:rsidRPr="005D529F">
        <w:rPr>
          <w:rFonts w:cs="Times New Roman"/>
          <w:lang w:val="es-ES"/>
        </w:rPr>
        <w:t xml:space="preserve"> existente</w:t>
      </w:r>
      <w:r w:rsidR="00237A16" w:rsidRPr="005D529F">
        <w:rPr>
          <w:rFonts w:cs="Times New Roman"/>
          <w:lang w:val="es-ES"/>
        </w:rPr>
        <w:t xml:space="preserve"> para un sujeto, en un momento y contexto</w:t>
      </w:r>
      <w:r w:rsidR="00D64C1E" w:rsidRPr="005D529F">
        <w:rPr>
          <w:rFonts w:cs="Times New Roman"/>
          <w:lang w:val="es-ES"/>
        </w:rPr>
        <w:t xml:space="preserve"> dados, entre sus posibilidades y </w:t>
      </w:r>
      <w:r w:rsidR="004B6F8B" w:rsidRPr="005D529F">
        <w:rPr>
          <w:rFonts w:cs="Times New Roman"/>
          <w:lang w:val="es-ES"/>
        </w:rPr>
        <w:t>sus circunstancias</w:t>
      </w:r>
      <w:r w:rsidR="00D64C1E" w:rsidRPr="005D529F">
        <w:rPr>
          <w:rFonts w:cs="Times New Roman"/>
          <w:lang w:val="es-ES"/>
        </w:rPr>
        <w:t>, entre la potencialidad humana de su ser</w:t>
      </w:r>
      <w:r w:rsidR="004B6F8B" w:rsidRPr="005D529F">
        <w:rPr>
          <w:rFonts w:cs="Times New Roman"/>
          <w:lang w:val="es-ES"/>
        </w:rPr>
        <w:noBreakHyphen/>
      </w:r>
      <w:r w:rsidR="00D64C1E" w:rsidRPr="005D529F">
        <w:rPr>
          <w:rFonts w:cs="Times New Roman"/>
          <w:lang w:val="es-ES"/>
        </w:rPr>
        <w:t>cuerpo y la realización efectiva en el mundo que habita</w:t>
      </w:r>
      <w:r w:rsidR="009D5F06" w:rsidRPr="005D529F">
        <w:rPr>
          <w:rFonts w:cs="Times New Roman"/>
          <w:lang w:val="es-ES"/>
        </w:rPr>
        <w:t xml:space="preserve">, entre el ser ideal que proyecta y la </w:t>
      </w:r>
      <w:r w:rsidR="00237A16" w:rsidRPr="005D529F">
        <w:rPr>
          <w:rFonts w:cs="Times New Roman"/>
          <w:lang w:val="es-ES"/>
        </w:rPr>
        <w:t>imagen alterada que le devuelve</w:t>
      </w:r>
      <w:r w:rsidR="009D5F06" w:rsidRPr="005D529F">
        <w:rPr>
          <w:rFonts w:cs="Times New Roman"/>
          <w:lang w:val="es-ES"/>
        </w:rPr>
        <w:t xml:space="preserve"> el espejo</w:t>
      </w:r>
      <w:r w:rsidR="00E533AF" w:rsidRPr="005D529F">
        <w:rPr>
          <w:rFonts w:cs="Times New Roman"/>
          <w:lang w:val="es-ES"/>
        </w:rPr>
        <w:noBreakHyphen/>
      </w:r>
      <w:r w:rsidR="009D5F06" w:rsidRPr="005D529F">
        <w:rPr>
          <w:rFonts w:cs="Times New Roman"/>
          <w:lang w:val="es-ES"/>
        </w:rPr>
        <w:t xml:space="preserve">mundo. </w:t>
      </w:r>
      <w:r w:rsidR="00237A16" w:rsidRPr="005D529F">
        <w:rPr>
          <w:rFonts w:cs="Times New Roman"/>
          <w:lang w:val="es-ES"/>
        </w:rPr>
        <w:t>En suma, a</w:t>
      </w:r>
      <w:r w:rsidR="00254CFC" w:rsidRPr="005D529F">
        <w:rPr>
          <w:rFonts w:cs="Times New Roman"/>
          <w:lang w:val="es-ES"/>
        </w:rPr>
        <w:t xml:space="preserve"> modo de conclusión, </w:t>
      </w:r>
      <w:r w:rsidR="00142A0B" w:rsidRPr="005D529F">
        <w:rPr>
          <w:rFonts w:cs="Times New Roman"/>
          <w:lang w:val="es-ES"/>
        </w:rPr>
        <w:t xml:space="preserve">aunque tentativa y provisional, </w:t>
      </w:r>
      <w:r w:rsidR="00237A16" w:rsidRPr="005D529F">
        <w:rPr>
          <w:rFonts w:cs="Times New Roman"/>
          <w:lang w:val="es-ES"/>
        </w:rPr>
        <w:t xml:space="preserve">diríamos </w:t>
      </w:r>
      <w:r w:rsidR="00254CFC" w:rsidRPr="005D529F">
        <w:rPr>
          <w:rFonts w:cs="Times New Roman"/>
          <w:lang w:val="es-ES"/>
        </w:rPr>
        <w:t xml:space="preserve">que la </w:t>
      </w:r>
      <w:r w:rsidR="006D2144" w:rsidRPr="005D529F">
        <w:rPr>
          <w:rFonts w:cs="Times New Roman"/>
          <w:lang w:val="es-ES"/>
        </w:rPr>
        <w:t>felicidad</w:t>
      </w:r>
      <w:r w:rsidR="00254CFC" w:rsidRPr="005D529F">
        <w:rPr>
          <w:rFonts w:cs="Times New Roman"/>
        </w:rPr>
        <w:t xml:space="preserve"> </w:t>
      </w:r>
      <w:r w:rsidR="006B5C74" w:rsidRPr="005D529F">
        <w:rPr>
          <w:rFonts w:cs="Times New Roman"/>
        </w:rPr>
        <w:t>es el estado emocional que</w:t>
      </w:r>
      <w:r w:rsidR="00254CFC" w:rsidRPr="005D529F">
        <w:rPr>
          <w:rFonts w:cs="Times New Roman"/>
        </w:rPr>
        <w:t xml:space="preserve"> </w:t>
      </w:r>
      <w:r w:rsidR="00CA317C" w:rsidRPr="005D529F">
        <w:rPr>
          <w:rFonts w:cs="Times New Roman"/>
        </w:rPr>
        <w:t>señala el grado de correspondencia existente entre</w:t>
      </w:r>
      <w:r w:rsidR="00254CFC" w:rsidRPr="005D529F">
        <w:rPr>
          <w:rFonts w:cs="Times New Roman"/>
        </w:rPr>
        <w:t xml:space="preserve"> </w:t>
      </w:r>
      <w:r w:rsidR="00CA317C" w:rsidRPr="005D529F">
        <w:rPr>
          <w:rFonts w:cs="Times New Roman"/>
        </w:rPr>
        <w:t>la</w:t>
      </w:r>
      <w:r w:rsidR="00254CFC" w:rsidRPr="005D529F">
        <w:rPr>
          <w:rFonts w:cs="Times New Roman"/>
        </w:rPr>
        <w:t>s</w:t>
      </w:r>
      <w:r w:rsidR="00CA317C" w:rsidRPr="005D529F">
        <w:rPr>
          <w:rFonts w:cs="Times New Roman"/>
        </w:rPr>
        <w:t xml:space="preserve"> potencialidad</w:t>
      </w:r>
      <w:r w:rsidR="00254CFC" w:rsidRPr="005D529F">
        <w:rPr>
          <w:rFonts w:cs="Times New Roman"/>
        </w:rPr>
        <w:t>es</w:t>
      </w:r>
      <w:r w:rsidR="00CA317C" w:rsidRPr="005D529F">
        <w:rPr>
          <w:rFonts w:cs="Times New Roman"/>
        </w:rPr>
        <w:t xml:space="preserve"> humana</w:t>
      </w:r>
      <w:r w:rsidR="00254CFC" w:rsidRPr="005D529F">
        <w:rPr>
          <w:rFonts w:cs="Times New Roman"/>
        </w:rPr>
        <w:t>s</w:t>
      </w:r>
      <w:r w:rsidR="00237A16" w:rsidRPr="005D529F">
        <w:rPr>
          <w:rFonts w:cs="Times New Roman"/>
        </w:rPr>
        <w:t xml:space="preserve"> de una persona</w:t>
      </w:r>
      <w:r w:rsidR="00CA317C" w:rsidRPr="005D529F">
        <w:rPr>
          <w:rFonts w:cs="Times New Roman"/>
        </w:rPr>
        <w:t xml:space="preserve"> </w:t>
      </w:r>
      <w:r w:rsidR="00254CFC" w:rsidRPr="005D529F">
        <w:rPr>
          <w:rFonts w:cs="Times New Roman"/>
        </w:rPr>
        <w:t>y su efectiva realización</w:t>
      </w:r>
      <w:r w:rsidR="00CA317C" w:rsidRPr="005D529F">
        <w:rPr>
          <w:rFonts w:cs="Times New Roman"/>
        </w:rPr>
        <w:t xml:space="preserve"> </w:t>
      </w:r>
      <w:r w:rsidR="00254CFC" w:rsidRPr="005D529F">
        <w:rPr>
          <w:rFonts w:cs="Times New Roman"/>
        </w:rPr>
        <w:t>en el marco de una situación determinada.</w:t>
      </w:r>
    </w:p>
    <w:p w14:paraId="5C0028D5" w14:textId="77777777" w:rsidR="000C41B4" w:rsidRDefault="000C41B4" w:rsidP="000E4576">
      <w:pPr>
        <w:rPr>
          <w:rFonts w:cs="Times New Roman"/>
        </w:rPr>
        <w:sectPr w:rsidR="000C41B4" w:rsidSect="00F458C5">
          <w:headerReference w:type="default" r:id="rId12"/>
          <w:pgSz w:w="11900" w:h="16840"/>
          <w:pgMar w:top="2041" w:right="1814" w:bottom="1758" w:left="1814" w:header="709" w:footer="709" w:gutter="0"/>
          <w:pgNumType w:start="11"/>
          <w:cols w:space="708"/>
          <w:titlePg/>
          <w:docGrid w:linePitch="360"/>
        </w:sectPr>
      </w:pPr>
    </w:p>
    <w:p w14:paraId="29C8B0BB" w14:textId="45013771" w:rsidR="0000205E" w:rsidRPr="000E4576" w:rsidRDefault="00306291" w:rsidP="000E4576">
      <w:pPr>
        <w:pStyle w:val="Ttulo1"/>
        <w:rPr>
          <w:rFonts w:cs="Times New Roman"/>
        </w:rPr>
      </w:pPr>
      <w:bookmarkStart w:id="25" w:name="_Toc311991783"/>
      <w:bookmarkStart w:id="26" w:name="_Toc311993012"/>
      <w:bookmarkStart w:id="27" w:name="_Toc311998414"/>
      <w:r w:rsidRPr="005D529F">
        <w:lastRenderedPageBreak/>
        <w:t>2  La medida del bienestar subjetivo</w:t>
      </w:r>
      <w:bookmarkEnd w:id="25"/>
      <w:bookmarkEnd w:id="26"/>
      <w:bookmarkEnd w:id="27"/>
    </w:p>
    <w:p w14:paraId="4E61217C" w14:textId="77777777" w:rsidR="0000205E" w:rsidRDefault="00306291" w:rsidP="000E4576">
      <w:pPr>
        <w:pStyle w:val="Ttulo2"/>
      </w:pPr>
      <w:bookmarkStart w:id="28" w:name="_Toc311991784"/>
      <w:bookmarkStart w:id="29" w:name="_Toc311993013"/>
      <w:r w:rsidRPr="005D529F">
        <w:t>2.</w:t>
      </w:r>
      <w:r w:rsidR="004F3332" w:rsidRPr="005D529F">
        <w:t xml:space="preserve">1 </w:t>
      </w:r>
      <w:r w:rsidRPr="005D529F">
        <w:t xml:space="preserve"> ¿Se puede medir la felicidad?</w:t>
      </w:r>
      <w:bookmarkEnd w:id="28"/>
      <w:bookmarkEnd w:id="29"/>
    </w:p>
    <w:p w14:paraId="01F78DD3" w14:textId="77777777" w:rsidR="0000205E" w:rsidRDefault="00306291" w:rsidP="005D529F">
      <w:pPr>
        <w:rPr>
          <w:rFonts w:cs="Times New Roman"/>
        </w:rPr>
      </w:pPr>
      <w:r w:rsidRPr="005D529F">
        <w:rPr>
          <w:rFonts w:cs="Times New Roman"/>
        </w:rPr>
        <w:t xml:space="preserve">Hasta la década de los años sesenta del siglo pasado a casi nadie se le hubiera ocurrido pensar que la felicidad pudiera medirse. Solamente los fenómenos objetivos eran susceptibles de medición, en el sentido preciso y propio de la palabra. El flujo emocional experimentado subjetivamente por las personas, compuesto por una irregular y paradójica sucesión de sentimientos efímeros o durables, débiles o intensos, difusamente definidos y en muchos casos inidentificables, estaba en las antípodas de las realidades consideradas medibles. La felicidad, excelso objeto de sabiduría propio de pensadores y filósofos, quienes sugerían al resto de los mortales cómo conseguirla, evitar su pérdida o mantenerla, no cumplía las condiciones exigibles a un concepto científico. Así, como tantas veces ha sucedido en la historia de la ciencia, hubo que esperar a la introducción de un nuevo término, el de bienestar subjetivo (BS), para que se abriera paso en el horizonte la cuantificación de la felicidad. El psicólogo Ed Diener introdujo el concepto de subjective well-being (SWB) en 1984. </w:t>
      </w:r>
    </w:p>
    <w:p w14:paraId="11BCAC6C" w14:textId="77777777" w:rsidR="0000205E" w:rsidRDefault="00306291" w:rsidP="005D529F">
      <w:pPr>
        <w:rPr>
          <w:rFonts w:cs="Times New Roman"/>
        </w:rPr>
      </w:pPr>
      <w:r w:rsidRPr="005D529F">
        <w:rPr>
          <w:rFonts w:cs="Times New Roman"/>
        </w:rPr>
        <w:t>La psicología indexó por primera vez en 1973 el término felicidad en el Psychological Abstracts International, y la revista Social Indicators Research, fundada en 1974, inició su andadura incluyendo abundantes artículos sobre la felicidad y la satisfacción con la vida. Desde la revisión de Warner Wilson, de 1967, hasta la realizada por Diener, en 1984, se habían publicado ya más de 700 estudios sobre el tema (Diener, 1984:542). Sin duda, “en los últimos tiempos la felicidad se ha convertido en un asunto investigado intensivamente por los científicos de muchas disciplinas”, aunque “incluso hoy, el término felicidad apenas aparece en las enciclopedias generales y sociológicas” (Haller y Hadler, 2006:170). Este campo de investigación emergente presenta tres rasgos fundamentales. Estudia el bienestar: 1) desde la perspectiva subjetiva de las propias personas, no analizando sus condiciones objetivas de vida ; 2) incluyendo los componentes positivos de la experiencia vital, no solo los negativos; y 3) usando medidas que valoran globalmente todos los aspectos de la vida de las personas, no algunas dimensiones particulares (Diener, 1984:543).</w:t>
      </w:r>
    </w:p>
    <w:p w14:paraId="4AF5166B" w14:textId="77777777" w:rsidR="0000205E" w:rsidRDefault="00306291" w:rsidP="005D529F">
      <w:pPr>
        <w:rPr>
          <w:rFonts w:cs="Times New Roman"/>
        </w:rPr>
      </w:pPr>
      <w:r w:rsidRPr="005D529F">
        <w:rPr>
          <w:rFonts w:cs="Times New Roman"/>
        </w:rPr>
        <w:t xml:space="preserve">Frente a la insoslayable complejidad y riqueza del fenómeno, la solución propuesta para el estudio social y cuantitativo de la felicidad fue sorprendentemente sencilla. La mejor forma de saber si una persona es feliz es preguntárselo a ella misma. En términos generales, ¿en qué medida se considera usted una persona feliz o infeliz?, señale en la escala “0” si se considera “absolutamente infeliz”, “10” si se considera “absolutamente feliz”, o cualquier otra posición intermedia. Aquí la “felicidad” se entiende como “el grado en el que un individuo juzga favorablemente su calidad de vida” (Veenhoven, 2012:66). Junto a las escalas de felicidad, se utilizan las escalas de satisfacción. En ellas se </w:t>
      </w:r>
      <w:r w:rsidRPr="005D529F">
        <w:rPr>
          <w:rFonts w:cs="Times New Roman"/>
        </w:rPr>
        <w:lastRenderedPageBreak/>
        <w:t>pregunta: En términos generales, ¿en qué medida está usted satisfecho con su vida actualmente?, señale “0” si “completamente insatisfecho”, “10” si “completamente satisfecho”, o cualquier otra posición intermedia. Ahora bien, aunque en ambos casos se solicita al individuo una evaluación general de su vida, es evidente que la “felicidad” y la “satisfacción con la vida” son dos conceptos diferentes. En la felicidad predomina el componente afectivo (el sujeto informa sobre cómo se siente), mientras que en la satisfacción predomina el cognitivo o racional (el sujeto emite una evaluación o juicio). Un individuo pueden sentirse relativamente infeliz pero, considerando racionalmente las circunstancias de su situación y sus rasgos personales, considerarse al mismo tiempo relativamente satisfecho. Sin duda, ambas variables están íntimamente correlacionadas, aunque la felicidad, tal como nos indicaban los filósofos, está más determinada por el carácter de nuestras relaciones sociales, mientras que la satisfacción depende más de las condiciones de vida objetivas y materiales (Haller y Hadler, 2006:178).</w:t>
      </w:r>
    </w:p>
    <w:p w14:paraId="731820B6" w14:textId="77777777" w:rsidR="0000205E" w:rsidRDefault="00306291" w:rsidP="005D529F">
      <w:pPr>
        <w:rPr>
          <w:rFonts w:cs="Times New Roman"/>
        </w:rPr>
      </w:pPr>
      <w:r w:rsidRPr="005D529F">
        <w:rPr>
          <w:rFonts w:cs="Times New Roman"/>
        </w:rPr>
        <w:t>El sociólogo Ruut Veenhoven viene recopilando desde 1984, en la Base de Datos Mundial de la Felicidad, las múltiples variantes existentes de ambas escalas, así como otros instrumentos de medida mediante los que se han obtenido datos sobre la valoración subjetiva que hacen los propios individuos de su vida en general (Veenhoven, 1984). Las escalas de felicidad y de satisfacción han sido objeto de muchas críticas: que la gente no sabe realmente en qué medida “es” feliz, y contesta según lo feliz que “debiera” ser; que es vergonzoso declararse infeliz, por lo que sobrestiman su grado de felicidad; que la medición obtenida con una variable es bastante imprecisa, poco fiable e inconsistente; que la respuesta depende de las preguntas que vayan delante en el cuestionario; o que las contestaciones varían según el ánimo que tenga el entrevistado en el momento de la entrevista. Sin embargo, pese al fondo de verdad que encierran estas críticas, la ingente cantidad de estudios realizados con estas sencillas escalas demuestran la bondad de la medida, su grado relativamente alto de validez y de fiabilidad (Veenhoven, 2012) (Diener et al, 2012) (OECD, 2013) (Ferrer-i-Carbonell, 2012). Con estas dos sencillas preguntas se ha desarrollado durante los últimos cuarenta años un impresionante programa de investigación social sobre la felicidad (Diener et al., 1999). En este ámbito, los trabajos de Ed Diener y Ruut Veenhoven merecen especial consideración.</w:t>
      </w:r>
    </w:p>
    <w:p w14:paraId="7D3D3129" w14:textId="77777777" w:rsidR="0000205E" w:rsidRDefault="00306291" w:rsidP="005D529F">
      <w:pPr>
        <w:rPr>
          <w:rFonts w:cs="Times New Roman"/>
        </w:rPr>
      </w:pPr>
      <w:r w:rsidRPr="005D529F">
        <w:rPr>
          <w:rFonts w:cs="Times New Roman"/>
        </w:rPr>
        <w:t xml:space="preserve">Norman M. Bradburn publicó en 1965 Reports on Happiness, y en 1969 </w:t>
      </w:r>
      <w:r w:rsidRPr="005D529F">
        <w:rPr>
          <w:rFonts w:cs="Times New Roman"/>
          <w:lang w:val="es-ES"/>
        </w:rPr>
        <w:t>The Structure of Psychological Well-Being</w:t>
      </w:r>
      <w:r w:rsidRPr="005D529F">
        <w:rPr>
          <w:rFonts w:cs="Times New Roman"/>
        </w:rPr>
        <w:t xml:space="preserve">, iniciando así un enfoque diferente a la hora de abordar  la medida del bienestar subjetivo, de la satisfacción con la vida o de la felicidad. Habiendo comprobado que las emociones positivas y las negativas seguían pautas independientes, creó la “Escala del Balance Emocional” (Affect Balance Scale). La escala contenía 10 ítems emocionales, 5 positivos (satisfecho por haber logrado algo; satisfecho porque las cosas estaban yendo como quería; orgulloso porque alguien le había felicitado; especialmente interesado en algo; sintiéndose en la cima del mundo) y 5 negativos (sintiéndose muy inquieto; aburrido; deprimido o muy infeliz; solo o distante de la gente; enojado porque alguien le había criticado). Dado que, para Bradburn, el grado de felicidad declarado por el sujeto es una función del balance de afectos positivos y </w:t>
      </w:r>
      <w:r w:rsidRPr="005D529F">
        <w:rPr>
          <w:rFonts w:cs="Times New Roman"/>
        </w:rPr>
        <w:lastRenderedPageBreak/>
        <w:t xml:space="preserve">negativos, la medida de la escala podría oscilar entre +5 (5 sentimientos positivos, ningún negativo) y -5 (ningún positivo, 5 negativos) (Bradburn, 1969:56). </w:t>
      </w:r>
    </w:p>
    <w:p w14:paraId="598D7CE6" w14:textId="77777777" w:rsidR="0000205E" w:rsidRDefault="00306291" w:rsidP="005D529F">
      <w:pPr>
        <w:rPr>
          <w:rFonts w:cs="Times New Roman"/>
        </w:rPr>
      </w:pPr>
      <w:r w:rsidRPr="005D529F">
        <w:rPr>
          <w:rFonts w:cs="Times New Roman"/>
        </w:rPr>
        <w:t xml:space="preserve">Este modelo de medición difiere de las escalas de felicidad o satisfacción en tres aspectos fundamentales: a) crea un indicador compuesto con información procedente de múltiples variables, b) es multidimensional, y c) está basado en  estados emocionales experimentados por el sujeto durante las últimas semanas. En este sentido, es importante recordar las conclusiones de Diener tras valorar la práctica habitual de preguntar simplemente a los entrevistados cuán felices se sienten o cómo están de satisfechos: “Las medidas utilizadas son buenas, pero pueden ser mejores.  ... el aumento de la calidad de las mediciones y de la definiciones teóricas del bienestar ofrecen un importante vehículo para el progreso del campo de estudio. Cuando sea posible, los investigadores deben usar múltiples medidas de bienestar subjetivo, ... pues es probable que una puntuación única simplifique en exceso el fenómeno del bienestar subjetivo” (Diener, 1994:146). </w:t>
      </w:r>
    </w:p>
    <w:p w14:paraId="4950E4BC" w14:textId="77777777" w:rsidR="0000205E" w:rsidRDefault="00306291" w:rsidP="005D529F">
      <w:pPr>
        <w:rPr>
          <w:rFonts w:cs="Times New Roman"/>
        </w:rPr>
      </w:pPr>
      <w:r w:rsidRPr="005D529F">
        <w:rPr>
          <w:rFonts w:cs="Times New Roman"/>
        </w:rPr>
        <w:t>A partir del trabajo pionero de Bradburn, diversos investigadores han propuesto otros modelos multivariables de medición del bienestar subjetivo. Watson, Clark y Tellegen diseñaron las Escalas PANAS (Positive and Negative Affect Schedule) para medir de forma independiente el tono afectivo, negativo y positivo, de una persona, utilizando un total 20 items emocionales (Watson et al., 1988). Diener y colaboradores presentaron dos índices nuevos, la Escala de Experiencia Positiva y Negativa (Scale of Positive and Negative Experience), basada en 12 items emocionales, y la Escala de Florecimiento (Flourishing Scale), un índice sintético, basado en 8 items, que mide el éxito percibido por el propio sujeto en áreas importantes como las relaciones sociales, la autoestima, el sentido de la vida o el optimismo (Diener et al., 2010). Huppert y So, conscientes de la necesidad de crear modelos multivariables y multidimensionales, proponen un índice sintético de florecimiento incorporando dos dimensiones, una hedonista y otra eudamonista, y un total de 9 variables (Huppert y So, 2013). La Escala de Bienestar Mental Warwick-Edinburgh (Warwick-Edinburgh Mental Well-Being Scale) contiene un total de 14 variables, incluyendo también aspectos  hedonistas y eudamonistas de la felicidad (Tennant et al. 2007).</w:t>
      </w:r>
    </w:p>
    <w:p w14:paraId="75581B03" w14:textId="77777777" w:rsidR="0000205E" w:rsidRDefault="00306291" w:rsidP="005D529F">
      <w:pPr>
        <w:rPr>
          <w:rFonts w:cs="Times New Roman"/>
        </w:rPr>
      </w:pPr>
      <w:r w:rsidRPr="005D529F">
        <w:rPr>
          <w:rFonts w:cs="Times New Roman"/>
        </w:rPr>
        <w:t>Distinguir con claridad entre los modelos de medición  hedonistas y eudamonistas de la calidad de vida es clave (Huta y Waterman, 2013), sobre todo teniendo en cuenta que nuevas perspectivas teóricas aplicadas al análisis social, como el enfoque de las capacidades (Nussbaum y Sen, 1993), han reavivado el interés por la idea aristotélica de felicidad que, según vimos, aún incorporando el placer como ingrediente necesario de la virtud, estaba basada en el obrar bien y en el concepto de “excelencia en la acción”.</w:t>
      </w:r>
    </w:p>
    <w:p w14:paraId="4062B1FE" w14:textId="77777777" w:rsidR="0000205E" w:rsidRDefault="00306291" w:rsidP="005D529F">
      <w:pPr>
        <w:rPr>
          <w:rFonts w:cs="Times New Roman"/>
        </w:rPr>
      </w:pPr>
      <w:r w:rsidRPr="005D529F">
        <w:rPr>
          <w:rFonts w:cs="Times New Roman"/>
        </w:rPr>
        <w:t xml:space="preserve">Las escalas de “florecimiento” recopilan informaciones tanto sobre los recursos de todo tipo con los que una persona afronta la existencia, como sobre su funcionamiento en la vida. Así, el índice de Diener obtiene esta información preguntando a las personas si su vida tiene sentido, si sus relaciones sociales son gratificantes, si se implica y está interesado en las actividades cotidianas, si la gente le respeta, si contribuye al bienestar </w:t>
      </w:r>
      <w:r w:rsidRPr="005D529F">
        <w:rPr>
          <w:rFonts w:cs="Times New Roman"/>
        </w:rPr>
        <w:lastRenderedPageBreak/>
        <w:t>de los demás, si es una persona competente, etc. (Diener et al., 2010:154). El índice de Huppert y So, además de interrogar sobre algunos de sus estados emocionales, pregunta si les gusta aprender nuevas cosas, si tienen la sensación de lograr algo con lo que hacen, si creen que su vida merece la pena, si en su vida hay alguien a quién realmente les importen, o si se recuperan fácilmente de la adversidad (Huppert y So, 2013:843). El modelo dinámico de florecimiento y bienestar personal, la “auténtica felicidad” que propone Martin Seligman, promotor de la psicología positiva, gravita sobre cinco ejes: emociones positivas, implicación y compromiso, relaciones sociales, sentido, y logro. Este modelo es conocido por el acrónimo PERMA (Positive emotions, Engagement, Relationships, Meaning and Accomplishment) (Seligman, 2011).</w:t>
      </w:r>
    </w:p>
    <w:p w14:paraId="031A54DC" w14:textId="77777777" w:rsidR="0000205E" w:rsidRDefault="00306291" w:rsidP="006A0BF7">
      <w:pPr>
        <w:pStyle w:val="Ttulo2"/>
        <w:rPr>
          <w:lang w:val="es-ES"/>
        </w:rPr>
      </w:pPr>
      <w:bookmarkStart w:id="30" w:name="_Toc311991785"/>
      <w:bookmarkStart w:id="31" w:name="_Toc311993014"/>
      <w:r w:rsidRPr="005D529F">
        <w:rPr>
          <w:lang w:val="es-ES"/>
        </w:rPr>
        <w:t>2.</w:t>
      </w:r>
      <w:r w:rsidR="004F3332" w:rsidRPr="005D529F">
        <w:rPr>
          <w:lang w:val="es-ES"/>
        </w:rPr>
        <w:t xml:space="preserve">2 </w:t>
      </w:r>
      <w:r w:rsidRPr="005D529F">
        <w:rPr>
          <w:lang w:val="es-ES"/>
        </w:rPr>
        <w:t xml:space="preserve"> El concepto de bienestar socioemocional</w:t>
      </w:r>
      <w:bookmarkEnd w:id="30"/>
      <w:bookmarkEnd w:id="31"/>
    </w:p>
    <w:p w14:paraId="4DB10EA2" w14:textId="77777777" w:rsidR="0000205E" w:rsidRDefault="00306291" w:rsidP="005D529F">
      <w:pPr>
        <w:rPr>
          <w:rFonts w:cs="Times New Roman"/>
        </w:rPr>
      </w:pPr>
      <w:r w:rsidRPr="005D529F">
        <w:rPr>
          <w:rFonts w:cs="Times New Roman"/>
        </w:rPr>
        <w:t xml:space="preserve">El diseño de instrumentos orientados a medir el grado de florecimiento y de excelencia en la vida de las personas es deseable y perfectamente legítimo. Sin embargo, la aplicación de la perspectiva eudamonista a la medición de la felicidad presenta dos importantes problemas. En primer lugar, implica asumir normativamente que un determinado modelo de felicidad es aplicable a todas las personas. Seligman propone una “auténtica felicidad”, y Aristóteles concluye que la vida contemplativa es la vida mejor y la más placentera. Empero, quizás no valga para el vulgo lo que vale para el sabio. En segundo lugar, presupone que el bien y la excelencia están indisolublemente asociados con sentimientos agradables y placenteros. Y aunque muchas evidencias lo prueban, esto no significa que siempre suceda así. Los filósofos estoicos desligaron radicalmente el placer, e incluso todas las emociones, de la virtud o cumplimiento del deber, que es el absoluto y único bien. </w:t>
      </w:r>
    </w:p>
    <w:p w14:paraId="25B21F79" w14:textId="77777777" w:rsidR="0000205E" w:rsidRDefault="00306291" w:rsidP="005D529F">
      <w:pPr>
        <w:rPr>
          <w:rFonts w:cs="Times New Roman"/>
        </w:rPr>
      </w:pPr>
      <w:r w:rsidRPr="005D529F">
        <w:rPr>
          <w:rFonts w:cs="Times New Roman"/>
        </w:rPr>
        <w:t xml:space="preserve">Como nuestra investigación tiene por objeto conocer quienes disfrutan, viviendo alegres, tranquilos y contentos, y quienes experimentan el dolor de la vida en sus propias carnes, sufriendo una existencia apenada, triste y deprimida, debemos seguir entendiendo la “felicidad” como “sentimiento”, bien como la emoción eufórica que nos inunda en algunos instantes vitalmente muy significativos, aunque pasajeros, bien como un estado emocional que puede acompañarnos de un modo más o menos estable, perdurable, aunque no permanente. Además, medir la felicidad de las personas a partir de los estados emocionales que experimentan está justificado porque es independiente de que los supuestos normativos que incorpora la perspectiva eudamonista se cumplan o no. Si fuera universalmente cierto, es decir, igualmente válido para todas las personas  que, por ejemplo, el logro, el sentido, las relaciones sociales, el afán de aprender, la competencia en el trabajo o el respeto de los demás, procuraran la felicidad, sería asimismo cierto que todas estas cosas serían gratificantes en igual medida para todos los individuos y que, por tanto, todas harían que sus vida fuera bastante más agradables. Ahora bien, las personas diferimos en valores vitales, y no podemos esperar que la cantidad y calidad de nuestros </w:t>
      </w:r>
      <w:r w:rsidRPr="005D529F">
        <w:rPr>
          <w:rFonts w:cs="Times New Roman"/>
        </w:rPr>
        <w:lastRenderedPageBreak/>
        <w:t>logros, o de nuestras relaciones sociales, por citar dos factores asociados con la felicidad, sean gratificantes en la misma medida para todos.</w:t>
      </w:r>
    </w:p>
    <w:p w14:paraId="45611857" w14:textId="77777777" w:rsidR="0000205E" w:rsidRDefault="00306291" w:rsidP="005D529F">
      <w:pPr>
        <w:rPr>
          <w:rFonts w:cs="Times New Roman"/>
        </w:rPr>
      </w:pPr>
      <w:r w:rsidRPr="005D529F">
        <w:rPr>
          <w:rFonts w:cs="Times New Roman"/>
        </w:rPr>
        <w:t>Por las razones expuestas, hemos de concluir que el único modo que tenemos de saber con certeza si una persona vive feliz es registrando sus sentimientos y estados emocionales, pues en ningún caso bastaría con conocer las condiciones o los factores que hipotéticamente pudieran causar felicidad. En este sentido, creemos que la euthymía de Demócrito, el “buen ánimo”, aporta la perspectiva adecuada para el diseño de un modelo y un instrumento de medición de la felicidad aplicable al análisis de la estructura y de la estratificación social. Aunque algunos autores han despreciado la ética naturalista, práctica y no dogmática de Demócrito como una “sabiduría práctica casera”, señalando que “muchas máximas son, incluso para la época, extremadamente tópicas y banales” (Guthrie, 1986), lo cierto es que esta ética pensada para la “gente normal” ofrece por primera vez una perspectiva democrática de la felicidad. Demócrito introduce el concepto de “bien</w:t>
      </w:r>
      <w:r w:rsidRPr="005D529F">
        <w:rPr>
          <w:rFonts w:cs="Times New Roman"/>
        </w:rPr>
        <w:noBreakHyphen/>
        <w:t>estar” en su acepción subjetiva (subjective well-being), un concepto radicalmente posmoderno, ligado a la idea de estar contento (cheerfulness). Su ética, basada en el agrado y en el desagrado, en el arte de la moderación en el placer, se distancia con claridad del hedonismo, tal y como es habitualmente considerado.  Por otra parte, aún distanciado del eudamonismo, el bien estar de la ética democrítea no es en absoluto ajeno al bien moral. El buen ánimo surge y se mantiene llevando junto a los otros una vida adecuada y justa, que se refleja, tal y como asimismo creía Sócrates, en una conciencia moral interior tranquila, ajena a la turbación y al dolor que provoca el sentimiento de vergüenza.</w:t>
      </w:r>
    </w:p>
    <w:p w14:paraId="59370C96" w14:textId="77777777" w:rsidR="0000205E" w:rsidRDefault="00306291" w:rsidP="005D529F">
      <w:pPr>
        <w:rPr>
          <w:rFonts w:cs="Times New Roman"/>
        </w:rPr>
      </w:pPr>
      <w:r w:rsidRPr="005D529F">
        <w:rPr>
          <w:rFonts w:cs="Times New Roman"/>
        </w:rPr>
        <w:t>Actualizando la tradición democrítea, hemos re-conceptualizado el bienestar subjetivo como bienestar socioemocional, un bienestar configurado por ciertos estados emocionales que, según apuntan todos los filósofos que han pensado la felicidad, tienen un fundamento eminentemente social. Siendo esto así, y  al objeto de configurar una conceptualización más precisa de este bienestar, hemos recurrido al saber de la sociología de las emociones (Bericat, 2012), especialmente a la obra de dos de sus ya clásicos pioneros, Theodre D. Kemper y Randall Collins.</w:t>
      </w:r>
    </w:p>
    <w:p w14:paraId="5D63D18B" w14:textId="77777777" w:rsidR="0000205E" w:rsidRDefault="00306291" w:rsidP="00FC6FF3">
      <w:pPr>
        <w:pStyle w:val="Ttulo3"/>
      </w:pPr>
      <w:bookmarkStart w:id="32" w:name="_Toc311991786"/>
      <w:bookmarkStart w:id="33" w:name="_Toc311993015"/>
      <w:r w:rsidRPr="005D529F">
        <w:t>La teoría socio-interaccional de las emociones</w:t>
      </w:r>
      <w:bookmarkEnd w:id="32"/>
      <w:bookmarkEnd w:id="33"/>
    </w:p>
    <w:p w14:paraId="6D511BD2" w14:textId="77777777" w:rsidR="0000205E" w:rsidRDefault="00306291" w:rsidP="005D529F">
      <w:pPr>
        <w:rPr>
          <w:rFonts w:cs="Times New Roman"/>
          <w:lang w:val="es-ES"/>
        </w:rPr>
      </w:pPr>
      <w:r w:rsidRPr="005D529F">
        <w:rPr>
          <w:rFonts w:cs="Times New Roman"/>
        </w:rPr>
        <w:t xml:space="preserve">Kemper parte del supuesto de que </w:t>
      </w:r>
      <w:r w:rsidRPr="005D529F">
        <w:rPr>
          <w:rFonts w:cs="Times New Roman"/>
          <w:lang w:val="es-ES"/>
        </w:rPr>
        <w:t xml:space="preserve">«la inmensa mayoría de los tipos de emociones humanas derivan de los resultados reales, anticipados, imaginados o recordados producto de la interacción relacional» (Kemper, 78: 32). Las emociones manifiestan, en el cuerpo de los individuos, el riquísimo universo de formas y resultados de relación social. Soledad, envidia, odio, miedo, vergüenza, orgullo, resentimiento, venganza, nostalgia, tristeza, satisfacción, alegría, rabia, frustración y otro sinfín de emociones se corresponden con distintas situaciones sociales específicas (Bericat, 2000). Las emociones no son una determinada substancia, sino una pauta relacional derivada de la vinculación que mantiene el yo con su entorno, fundamentalmente con los otros, esto es, con su mundo social (Bericat, 2012). Según Kemper existen dos dimensiones básicas de </w:t>
      </w:r>
      <w:r w:rsidRPr="005D529F">
        <w:rPr>
          <w:rFonts w:cs="Times New Roman"/>
          <w:lang w:val="es-ES"/>
        </w:rPr>
        <w:lastRenderedPageBreak/>
        <w:t>la sociabilidad, el poder y el estatus. Nuestro grado de poder dependerá, según la clásica definición de Weber, de la capacidad que tengamos para lograr que los otros hagan cosas favorables a nuestros intereses incluso contra su voluntad. El poder regula la relaciones sociales mediante la coerción y la fuerza que un agente puede aplicar sobre los demás. Ahora bien, también podemos obtener beneficios de una interacción social si los otros nos ofrecen recompensas libremente sin que medie ningún tipo de coacción. El estatus, desde esta perspectiva, refleja la aquiescencia, aprobación, deferencia, aprecio, reconocimiento, apoyo financiero o emocional, incluso amor, que los actores se otorgan voluntariamente unos a otros (Kemper, 1981:337).</w:t>
      </w:r>
    </w:p>
    <w:p w14:paraId="6CE89336" w14:textId="77777777" w:rsidR="0000205E" w:rsidRDefault="00306291" w:rsidP="005D529F">
      <w:pPr>
        <w:rPr>
          <w:rFonts w:cs="Times New Roman"/>
          <w:lang w:val="es-ES"/>
        </w:rPr>
      </w:pPr>
      <w:r w:rsidRPr="005D529F">
        <w:rPr>
          <w:rFonts w:cs="Times New Roman"/>
          <w:lang w:val="es-ES"/>
        </w:rPr>
        <w:t>En el contexto de una interacción social, un individuo estará contento y satisfecho cuando considere que su nivel de poder y status es adecuado, y estará descontento e insatisfecho tanto si considera que su poder y estatus es excesivo, como si considera que es insuficiente. De los posibles niveles relativos de poder y de estatus emergen, según Kemper, las emociones estructurales básicas. Así, la seguridad o la confianza son sentimientos que experimentan las personas cuando tienen o creen tener suficientes recursos de poder con los que hacer frente a una determinada situación. A la inversa, las personas sentimos miedo o preocupación cuando nos enfrentamos a situaciones amenazadoras o peligrosas con una insuficiente cantidad de recursos de poder. Por último, el sentimiento de culpa emerge cuando obtenemos recompensas de los otros abusando de nuestra posición o de nuestros recursos de poder. Por otra parte, la depresión “resulta de un déficit de estatus, esto es, de una insuficiencia de recompensas y gratificaciones otorgadas voluntariamente por los otros” (Kemper, 1978:35). La vergüenza sería “la emoción experimentada cuando un actor cree que ha reclamado y/o recibido más estatus del que merece” (Kemper, 1978:34-25). Por último, sentiremos autoestima u orgullo cuando consideremos que los demás nos otorgan una cantidad adecuada o suficiente de respeto, reconocimiento, apoyo voluntario, cariño, etc., es decir, aquellas cosas que ni podemos comprar ni arrebatar por la fuerza a los demás.</w:t>
      </w:r>
    </w:p>
    <w:p w14:paraId="73B05AA8" w14:textId="77777777" w:rsidR="0000205E" w:rsidRDefault="00306291" w:rsidP="005D529F">
      <w:pPr>
        <w:rPr>
          <w:rFonts w:cs="Times New Roman"/>
          <w:lang w:val="es-ES"/>
        </w:rPr>
      </w:pPr>
      <w:r w:rsidRPr="005D529F">
        <w:rPr>
          <w:rFonts w:cs="Times New Roman"/>
          <w:lang w:val="es-ES"/>
        </w:rPr>
        <w:t>En la Figura 1, las emociones estructurales de la teoría sociorrelacional de Kemper están representadas en los ejes verticales exteriores, en el izquierdo las vinculadas a la dimensión de poder, y en el derecho las vinculadas a la dimensión de estatus. Dado que cada individuo ocupa una determinada posición en la estructura social, y a cada posición le corresponde un nivel de poder y de estatus característico, es de esperar que el buen o el mal ánimo de la personas, es decir, su nivel y calidad de bienestar socioemocional, esté condicionada por las múltiples desigualdades que configuran la estratificación de una sociedad.</w:t>
      </w:r>
    </w:p>
    <w:p w14:paraId="0FFD2FA9" w14:textId="77777777" w:rsidR="002E2380" w:rsidRPr="00B11EF6" w:rsidRDefault="002E2380" w:rsidP="002E2380">
      <w:pPr>
        <w:autoSpaceDE w:val="0"/>
        <w:autoSpaceDN w:val="0"/>
        <w:adjustRightInd w:val="0"/>
        <w:spacing w:line="360" w:lineRule="auto"/>
        <w:rPr>
          <w:rFonts w:ascii="Times New Roman" w:hAnsi="Times New Roman" w:cs="Times New Roman"/>
          <w:lang w:val="es-ES"/>
        </w:rPr>
      </w:pPr>
    </w:p>
    <w:p w14:paraId="492DAA64" w14:textId="77777777" w:rsidR="002E2380" w:rsidRPr="00B11EF6" w:rsidRDefault="002E2380" w:rsidP="002E2380">
      <w:pPr>
        <w:autoSpaceDE w:val="0"/>
        <w:autoSpaceDN w:val="0"/>
        <w:adjustRightInd w:val="0"/>
        <w:spacing w:line="360" w:lineRule="auto"/>
        <w:jc w:val="center"/>
        <w:rPr>
          <w:rFonts w:ascii="Times New Roman" w:hAnsi="Times New Roman" w:cs="Times New Roman"/>
          <w:lang w:val="es-ES"/>
        </w:rPr>
      </w:pPr>
      <w:r w:rsidRPr="00B11EF6">
        <w:rPr>
          <w:rFonts w:ascii="Times New Roman" w:hAnsi="Times New Roman" w:cs="Times New Roman"/>
          <w:noProof/>
          <w:lang w:val="es-ES"/>
        </w:rPr>
        <w:lastRenderedPageBreak/>
        <w:drawing>
          <wp:inline distT="0" distB="0" distL="0" distR="0" wp14:anchorId="186A8CC6" wp14:editId="675BD554">
            <wp:extent cx="4237616" cy="4657675"/>
            <wp:effectExtent l="25400" t="25400" r="29845" b="165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3277" b="-4604"/>
                    <a:stretch/>
                  </pic:blipFill>
                  <pic:spPr bwMode="auto">
                    <a:xfrm>
                      <a:off x="0" y="0"/>
                      <a:ext cx="4238747" cy="4658919"/>
                    </a:xfrm>
                    <a:prstGeom prst="rect">
                      <a:avLst/>
                    </a:prstGeom>
                    <a:noFill/>
                    <a:ln w="3175" cmpd="sng">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7EEAA12" w14:textId="77777777" w:rsidR="002E2380" w:rsidRPr="00B11EF6" w:rsidRDefault="002E2380" w:rsidP="002E2380">
      <w:pPr>
        <w:autoSpaceDE w:val="0"/>
        <w:autoSpaceDN w:val="0"/>
        <w:adjustRightInd w:val="0"/>
        <w:spacing w:line="360" w:lineRule="auto"/>
        <w:rPr>
          <w:rFonts w:ascii="Times New Roman" w:hAnsi="Times New Roman" w:cs="Times New Roman"/>
          <w:lang w:val="es-ES"/>
        </w:rPr>
      </w:pPr>
    </w:p>
    <w:p w14:paraId="4EC786EC" w14:textId="19C96F00" w:rsidR="0000205E" w:rsidRDefault="0000205E" w:rsidP="005D529F">
      <w:pPr>
        <w:rPr>
          <w:rFonts w:cs="Times New Roman"/>
          <w:lang w:val="es-ES"/>
        </w:rPr>
      </w:pPr>
    </w:p>
    <w:p w14:paraId="47A61BB8" w14:textId="77777777" w:rsidR="0000205E" w:rsidRDefault="00306291" w:rsidP="00765EB6">
      <w:pPr>
        <w:pStyle w:val="Ttulo3"/>
        <w:rPr>
          <w:lang w:val="es-ES"/>
        </w:rPr>
      </w:pPr>
      <w:bookmarkStart w:id="34" w:name="_Toc311991787"/>
      <w:bookmarkStart w:id="35" w:name="_Toc311993016"/>
      <w:r w:rsidRPr="005D529F">
        <w:rPr>
          <w:lang w:val="es-ES"/>
        </w:rPr>
        <w:t>La teoría de las cadenas de rituales de interacción</w:t>
      </w:r>
      <w:bookmarkEnd w:id="34"/>
      <w:bookmarkEnd w:id="35"/>
    </w:p>
    <w:p w14:paraId="019755FC" w14:textId="77777777" w:rsidR="0000205E" w:rsidRDefault="00306291" w:rsidP="005D529F">
      <w:pPr>
        <w:rPr>
          <w:rFonts w:cs="Times New Roman"/>
          <w:lang w:val="es-ES"/>
        </w:rPr>
      </w:pPr>
      <w:r w:rsidRPr="005D529F">
        <w:rPr>
          <w:rFonts w:cs="Times New Roman"/>
          <w:lang w:val="es-ES"/>
        </w:rPr>
        <w:t xml:space="preserve">La teoría de Randall Collins está basada en la concepción del ritual de Durkheim, para quién los ritos constituyen las instituciones sociales que mejor encarnan la lógica circular de lo sagrado y de lo social. Los seres humanos crean a los dioses, pero los dioses constituyen a los seres humanos. Los individuos reciben de la sociedad aquello que les hace humanos, el lenguaje, la ciencia, el arte y la moral, pero la sociedad les exige ciertos sacrificios y renuncias, ciertas ofrendas sin las que la sociedad nunca podría existir. Los ritos sociales son, por excelencia, instituciones productoras de sociedad (Bericat, 2013). Pero, ¿Cuál es el mecanismo mediante el que los ritos incorporan la lógica de lo social en la subjetividad individual? La sincronía/sintonía cognitiva, valorativa y, sobre todo, afectiva, que el rito produce en todos los participantes, genera una conciencia colectiva, una comunidad moral y una efervescencia emocional en la que los individuos </w:t>
      </w:r>
      <w:r w:rsidRPr="005D529F">
        <w:rPr>
          <w:rFonts w:cs="Times New Roman"/>
          <w:lang w:val="es-ES"/>
        </w:rPr>
        <w:lastRenderedPageBreak/>
        <w:t>experimentan en su interior, directamente, la fuerza de lo social. Los ritos producen estos efectos: 1) Solidaridad grupal y sentimiento de pertenencia, 2) energía emocional individual, una sensación de confianza, contento, fuerza, entusiasmo e iniciativa para la acción, 3) símbolos que representan al grupo, es decir, los objetos sagrados de Durkheim, y 4) sentimientos de moralidad, de acuerdo y de respeto a los valores del grupo (Collins, 2009:72-73).</w:t>
      </w:r>
    </w:p>
    <w:p w14:paraId="5B6C74B6" w14:textId="77777777" w:rsidR="0000205E" w:rsidRDefault="00306291" w:rsidP="005D529F">
      <w:pPr>
        <w:rPr>
          <w:rFonts w:cs="Times New Roman"/>
          <w:lang w:val="es-ES"/>
        </w:rPr>
      </w:pPr>
      <w:r w:rsidRPr="005D529F">
        <w:rPr>
          <w:rFonts w:cs="Times New Roman"/>
          <w:lang w:val="es-ES"/>
        </w:rPr>
        <w:t xml:space="preserve">Esta concepción del rito sustenta el concepto clave de la sociología de la emociones de Collins que, como veremos a continuación, al igual que la teoría de Kemper, vincula la estructuración social con el buen ánimo y el bienestar socioemocional. La </w:t>
      </w:r>
      <w:r w:rsidRPr="005D529F">
        <w:rPr>
          <w:rFonts w:cs="Times New Roman"/>
          <w:iCs/>
          <w:lang w:val="es-ES"/>
        </w:rPr>
        <w:t xml:space="preserve">energía emocional (EE) </w:t>
      </w:r>
      <w:r w:rsidRPr="005D529F">
        <w:rPr>
          <w:rFonts w:cs="Times New Roman"/>
          <w:lang w:val="es-ES"/>
        </w:rPr>
        <w:t xml:space="preserve">es el estado anímico que perdura en el individuo tras haber compartido colectivamente una misma experiencia vital, esto es, un mismo clima y estado emocional. No importa tanto cuál o cuáles sean las </w:t>
      </w:r>
      <w:r w:rsidRPr="005D529F">
        <w:rPr>
          <w:rFonts w:cs="Times New Roman"/>
          <w:iCs/>
          <w:lang w:val="es-ES"/>
        </w:rPr>
        <w:t xml:space="preserve">emociones ingredientes </w:t>
      </w:r>
      <w:r w:rsidRPr="005D529F">
        <w:rPr>
          <w:rFonts w:cs="Times New Roman"/>
          <w:lang w:val="es-ES"/>
        </w:rPr>
        <w:t xml:space="preserve">concretas (tristeza, horror, orgullo, alegría, etc.) que alimenten la efervescencia colectiva de un ritual (Collins,2009:149); importa sobre todo la </w:t>
      </w:r>
      <w:r w:rsidRPr="005D529F">
        <w:rPr>
          <w:rFonts w:cs="Times New Roman"/>
          <w:iCs/>
          <w:lang w:val="es-ES"/>
        </w:rPr>
        <w:t xml:space="preserve">emoción duradera </w:t>
      </w:r>
      <w:r w:rsidRPr="005D529F">
        <w:rPr>
          <w:rFonts w:cs="Times New Roman"/>
          <w:lang w:val="es-ES"/>
        </w:rPr>
        <w:t xml:space="preserve">que persiste más allá del rito. Collins utiliza el concepto de </w:t>
      </w:r>
      <w:r w:rsidRPr="005D529F">
        <w:rPr>
          <w:rFonts w:cs="Times New Roman"/>
          <w:iCs/>
          <w:lang w:val="es-ES"/>
        </w:rPr>
        <w:t xml:space="preserve">energía emocional (EE) </w:t>
      </w:r>
      <w:r w:rsidRPr="005D529F">
        <w:rPr>
          <w:rFonts w:cs="Times New Roman"/>
          <w:lang w:val="es-ES"/>
        </w:rPr>
        <w:t xml:space="preserve">para referirse a estas emociones duraderas, es decir, a un patrón psicofisiológico básico asociado con los tonos, humores, estados de ánimo perdurables y sentimientos de fondo que modulan la vida cotidiana de los seres humanos. Un ritual </w:t>
      </w:r>
      <w:r w:rsidRPr="005D529F">
        <w:rPr>
          <w:rFonts w:cs="Times New Roman"/>
          <w:iCs/>
          <w:lang w:val="es-ES"/>
        </w:rPr>
        <w:t xml:space="preserve">exitoso </w:t>
      </w:r>
      <w:r w:rsidRPr="005D529F">
        <w:rPr>
          <w:rFonts w:cs="Times New Roman"/>
          <w:lang w:val="es-ES"/>
        </w:rPr>
        <w:t xml:space="preserve">eleva la energía emocional de los participantes, mientras que un ritual </w:t>
      </w:r>
      <w:r w:rsidRPr="005D529F">
        <w:rPr>
          <w:rFonts w:cs="Times New Roman"/>
          <w:iCs/>
          <w:lang w:val="es-ES"/>
        </w:rPr>
        <w:t>fallido</w:t>
      </w:r>
      <w:r w:rsidRPr="005D529F">
        <w:rPr>
          <w:rFonts w:cs="Times New Roman"/>
          <w:lang w:val="es-ES"/>
        </w:rPr>
        <w:t xml:space="preserve">, </w:t>
      </w:r>
      <w:r w:rsidRPr="005D529F">
        <w:rPr>
          <w:rFonts w:cs="Times New Roman"/>
          <w:iCs/>
          <w:lang w:val="es-ES"/>
        </w:rPr>
        <w:t xml:space="preserve">vacío </w:t>
      </w:r>
      <w:r w:rsidRPr="005D529F">
        <w:rPr>
          <w:rFonts w:cs="Times New Roman"/>
          <w:lang w:val="es-ES"/>
        </w:rPr>
        <w:t xml:space="preserve">o </w:t>
      </w:r>
      <w:r w:rsidRPr="005D529F">
        <w:rPr>
          <w:rFonts w:cs="Times New Roman"/>
          <w:iCs/>
          <w:lang w:val="es-ES"/>
        </w:rPr>
        <w:t xml:space="preserve">forzado </w:t>
      </w:r>
      <w:r w:rsidRPr="005D529F">
        <w:rPr>
          <w:rFonts w:cs="Times New Roman"/>
          <w:lang w:val="es-ES"/>
        </w:rPr>
        <w:t>la disminuye (Collins, 2009:75).</w:t>
      </w:r>
    </w:p>
    <w:p w14:paraId="529B960A" w14:textId="77777777" w:rsidR="0000205E" w:rsidRDefault="00306291" w:rsidP="005D529F">
      <w:pPr>
        <w:rPr>
          <w:rFonts w:cs="Times New Roman"/>
          <w:lang w:val="es-ES"/>
        </w:rPr>
      </w:pPr>
      <w:r w:rsidRPr="005D529F">
        <w:rPr>
          <w:rFonts w:cs="Times New Roman"/>
          <w:lang w:val="es-ES"/>
        </w:rPr>
        <w:t xml:space="preserve">El concepto de energía emocional está vinculado a las emociones primarias de </w:t>
      </w:r>
      <w:r w:rsidRPr="005D529F">
        <w:rPr>
          <w:rFonts w:cs="Times New Roman"/>
          <w:iCs/>
          <w:lang w:val="es-ES"/>
        </w:rPr>
        <w:t xml:space="preserve">contento </w:t>
      </w:r>
      <w:r w:rsidRPr="005D529F">
        <w:rPr>
          <w:rFonts w:cs="Times New Roman"/>
          <w:lang w:val="es-ES"/>
        </w:rPr>
        <w:t xml:space="preserve">o felicidad y de </w:t>
      </w:r>
      <w:r w:rsidRPr="005D529F">
        <w:rPr>
          <w:rFonts w:cs="Times New Roman"/>
          <w:iCs/>
          <w:lang w:val="es-ES"/>
        </w:rPr>
        <w:t xml:space="preserve">tristeza </w:t>
      </w:r>
      <w:r w:rsidRPr="005D529F">
        <w:rPr>
          <w:rFonts w:cs="Times New Roman"/>
          <w:lang w:val="es-ES"/>
        </w:rPr>
        <w:t>o decepción. Una elevada energía emocional implica regocijo, alegría, entusiasmo, efervescencia, vitalidad, sentirse a gusto con uno mismo o confianza, mientras que una baja energía emocional implica decepción, acedía, depresión, poca iniciativa y sentimientos negativos hacia uno mismo. “La EE se asemeja un tanto al concepto psicológico de ‘pulsión’, pero su orientación es específicamente social. La EE elevada es un sentimiento de confianza y entusiasmo por la interacción social” (Collins, 2009:147-150). La energía emocional tiene dos componentes, un cierto nivel de energía vital, alto o bajo, y un cierto estado de bienestar emocional, bueno o malo, satisfactorio o insatisfactorio. Estas dos dimensiones de la energía emocional están representadas en la Figura 1 mediante los dos ejes verticales interiores.</w:t>
      </w:r>
    </w:p>
    <w:p w14:paraId="35B40025" w14:textId="77777777" w:rsidR="0000205E" w:rsidRDefault="00306291" w:rsidP="005D529F">
      <w:pPr>
        <w:rPr>
          <w:rFonts w:cs="Times New Roman"/>
          <w:lang w:val="es-ES"/>
        </w:rPr>
      </w:pPr>
      <w:r w:rsidRPr="005D529F">
        <w:rPr>
          <w:rFonts w:cs="Times New Roman"/>
          <w:lang w:val="es-ES"/>
        </w:rPr>
        <w:t xml:space="preserve">La idea de Collins, como la de Ervin Goffman, es que la vida cotidiana está plagada de una continua serie de pequeños ritos sociales. Cada encuentro, sea una interacción entre dos personas, sea una gran congregación colectiva o sea una minúscula reunión social, activa los mecanismos del ritual. La teoría de las </w:t>
      </w:r>
      <w:r w:rsidRPr="005D529F">
        <w:rPr>
          <w:rFonts w:cs="Times New Roman"/>
          <w:iCs/>
          <w:lang w:val="es-ES"/>
        </w:rPr>
        <w:t xml:space="preserve">Cadenas de Rituales de </w:t>
      </w:r>
      <w:r w:rsidRPr="005D529F">
        <w:rPr>
          <w:rFonts w:cs="Times New Roman"/>
          <w:lang w:val="es-ES"/>
        </w:rPr>
        <w:t xml:space="preserve">Interacción postula que los individuos ganan o pierden EE tanto en la interacciones </w:t>
      </w:r>
      <w:r w:rsidRPr="005D529F">
        <w:rPr>
          <w:rFonts w:cs="Times New Roman"/>
          <w:iCs/>
          <w:lang w:val="es-ES"/>
        </w:rPr>
        <w:t xml:space="preserve">rituales de poder </w:t>
      </w:r>
      <w:r w:rsidRPr="005D529F">
        <w:rPr>
          <w:rFonts w:cs="Times New Roman"/>
          <w:lang w:val="es-ES"/>
        </w:rPr>
        <w:t xml:space="preserve">como en las interacciones </w:t>
      </w:r>
      <w:r w:rsidRPr="005D529F">
        <w:rPr>
          <w:rFonts w:cs="Times New Roman"/>
          <w:iCs/>
          <w:lang w:val="es-ES"/>
        </w:rPr>
        <w:t>rituales de estatus</w:t>
      </w:r>
      <w:r w:rsidRPr="005D529F">
        <w:rPr>
          <w:rFonts w:cs="Times New Roman"/>
          <w:lang w:val="es-ES"/>
        </w:rPr>
        <w:t xml:space="preserve">, y que esta energía se acumula a través del tiempo. “Quienes imparten órdenes mantienen y en ocasiones aumentan su EE, quienes obedecen la sienten reducirse; ser el centro de atención y actualizar competentemente la membresía grupal eleva la EE; experimentar marginación o exclusión, la disminuye. Los RI se encadenan en el tiempo, de manera que los resultados (emocionales y simbólicos) </w:t>
      </w:r>
      <w:r w:rsidRPr="005D529F">
        <w:rPr>
          <w:rFonts w:cs="Times New Roman"/>
          <w:lang w:val="es-ES"/>
        </w:rPr>
        <w:lastRenderedPageBreak/>
        <w:t>de la interacción más reciente son los insumos de la siguiente; de este modo, la EE tiende a acumularse, positivamente o negativamente, en el transcurso del tiempo” (Collins, 2009:162).</w:t>
      </w:r>
    </w:p>
    <w:p w14:paraId="39D90FAD" w14:textId="77777777" w:rsidR="0000205E" w:rsidRDefault="00306291" w:rsidP="005D529F">
      <w:pPr>
        <w:rPr>
          <w:rFonts w:cs="Times New Roman"/>
          <w:lang w:val="es-ES"/>
        </w:rPr>
      </w:pPr>
      <w:r w:rsidRPr="005D529F">
        <w:rPr>
          <w:rFonts w:cs="Times New Roman"/>
          <w:lang w:val="es-ES"/>
        </w:rPr>
        <w:t xml:space="preserve">Tanto la teoría de las cadenas de rituales de interacción de Collins, como la teoría sociorrelacional de las emociones de Kemper, sostienen que los individuos experimentan en sus vidas un estado anímico general más o menos estable (Kemper y Collins, 1990). La primera teoría distingue entre </w:t>
      </w:r>
      <w:r w:rsidRPr="005D529F">
        <w:rPr>
          <w:rFonts w:cs="Times New Roman"/>
          <w:iCs/>
          <w:lang w:val="es-ES"/>
        </w:rPr>
        <w:t xml:space="preserve">emociones duraderas </w:t>
      </w:r>
      <w:r w:rsidRPr="005D529F">
        <w:rPr>
          <w:rFonts w:cs="Times New Roman"/>
          <w:lang w:val="es-ES"/>
        </w:rPr>
        <w:t xml:space="preserve">y transitorias, mientras que la segunda entre </w:t>
      </w:r>
      <w:r w:rsidRPr="005D529F">
        <w:rPr>
          <w:rFonts w:cs="Times New Roman"/>
          <w:iCs/>
          <w:lang w:val="es-ES"/>
        </w:rPr>
        <w:t xml:space="preserve">emociones estructurales </w:t>
      </w:r>
      <w:r w:rsidRPr="005D529F">
        <w:rPr>
          <w:rFonts w:cs="Times New Roman"/>
          <w:lang w:val="es-ES"/>
        </w:rPr>
        <w:t xml:space="preserve">y momentáneas. Aunque los sujetos pueden ganar o perder energía emocional en el curso de cada una de sus interacciones sociales, según Collins la energía emocional acumulada no se disipa instantáneamente, sino que perdura a través del tiempo. Por su parte, Kemper considera “que cada actor social estará en cierto grado satisfecho o insatisfecho tanto con su propia posición, como con la posición del otro, en las dimensiones de poder y estatus”, y ello se manifiesta en la emociones </w:t>
      </w:r>
      <w:r w:rsidRPr="005D529F">
        <w:rPr>
          <w:rFonts w:cs="Times New Roman"/>
          <w:iCs/>
          <w:lang w:val="es-ES"/>
        </w:rPr>
        <w:t>estructurales</w:t>
      </w:r>
      <w:r w:rsidRPr="005D529F">
        <w:rPr>
          <w:rFonts w:cs="Times New Roman"/>
          <w:lang w:val="es-ES"/>
        </w:rPr>
        <w:t xml:space="preserve">, por cuanto resultan de la estructura relativamente estable de una determinada relación social (Kemper, 1978:49) (Bericat, 2013). </w:t>
      </w:r>
    </w:p>
    <w:p w14:paraId="1266918C" w14:textId="77777777" w:rsidR="0000205E" w:rsidRDefault="00306291" w:rsidP="005D529F">
      <w:pPr>
        <w:rPr>
          <w:rFonts w:cs="Times New Roman"/>
          <w:lang w:val="es-ES"/>
        </w:rPr>
      </w:pPr>
      <w:r w:rsidRPr="005D529F">
        <w:rPr>
          <w:rFonts w:cs="Times New Roman"/>
        </w:rPr>
        <w:t xml:space="preserve">En suma, el estado anímico general y perdurable postulado por ambas teorías constituye el contenido del concepto de bienestar socioemocional, tal y como aparece representado en la Figura 1. Vemos así que el buen ánimo, el bienestar subjetivo, o la felicidad de la que en general hablan los filósofos, no es una emoción específica y pura, sino más bien una “meta-emoción”, un sentimiento compuesto por muchos estados emocionales. El concepto ideal que hemos configurado para poder conocer si una persona es feliz, está contenta y disfruta de la vida o si, por el contrario, está triste, deprimida o es infeliz, incluye prototípicamente ocho estados emocionales, cuatro positivos (seguridad; vitalidad, felicidad y orgullo), y cuatro negativos (miedo, depresión, tristeza, y vergüenza). Así, podríamos definir el bienestar socioemocional como un estado anímico general y relativamente estable asociado a un adecuado tono vital y a diversas emociones agradables experimentadas por el sujeto. Tomando en consideración la perspectiva sociológica que fundamenta este concepto de felicidad, podríamos concluir señalando que </w:t>
      </w:r>
      <w:r w:rsidRPr="005D529F">
        <w:rPr>
          <w:rFonts w:cs="Times New Roman"/>
          <w:lang w:val="es-ES"/>
        </w:rPr>
        <w:t xml:space="preserve">el </w:t>
      </w:r>
      <w:r w:rsidRPr="005D529F">
        <w:rPr>
          <w:rFonts w:cs="Times New Roman"/>
          <w:iCs/>
          <w:lang w:val="es-ES"/>
        </w:rPr>
        <w:t>bienestar socioemocional es un estado anímico general y relativamente estable que señala la valoración o balance emocional que hace el sujeto de los resultados del conjunto de sus interacciones sociales (Bericat, 2013)</w:t>
      </w:r>
      <w:r w:rsidRPr="005D529F">
        <w:rPr>
          <w:rFonts w:cs="Times New Roman"/>
          <w:lang w:val="es-ES"/>
        </w:rPr>
        <w:t xml:space="preserve">. </w:t>
      </w:r>
    </w:p>
    <w:p w14:paraId="547ED8B8" w14:textId="77777777" w:rsidR="0000205E" w:rsidRDefault="00306291" w:rsidP="0026476F">
      <w:pPr>
        <w:pStyle w:val="Ttulo2"/>
      </w:pPr>
      <w:bookmarkStart w:id="36" w:name="_Toc311991788"/>
      <w:bookmarkStart w:id="37" w:name="_Toc311993017"/>
      <w:r w:rsidRPr="005D529F">
        <w:t>2.</w:t>
      </w:r>
      <w:r w:rsidR="00F364D3" w:rsidRPr="005D529F">
        <w:t xml:space="preserve">3 </w:t>
      </w:r>
      <w:r w:rsidRPr="005D529F">
        <w:t xml:space="preserve"> La medida del bienestar socioemocional</w:t>
      </w:r>
      <w:bookmarkEnd w:id="36"/>
      <w:bookmarkEnd w:id="37"/>
    </w:p>
    <w:p w14:paraId="1E8ED802" w14:textId="77777777" w:rsidR="0000205E" w:rsidRDefault="00306291" w:rsidP="005D529F">
      <w:pPr>
        <w:rPr>
          <w:rFonts w:cs="Times New Roman"/>
        </w:rPr>
      </w:pPr>
      <w:r w:rsidRPr="005D529F">
        <w:rPr>
          <w:rFonts w:cs="Times New Roman"/>
        </w:rPr>
        <w:t xml:space="preserve">El progreso en la investigación social del bienestar subjetivo requiere una mejora de las definiciones teóricas pero también, como ha señalado Diener, una mejora en en nuestras mediciones. Por este motivo, hemos tratado de validar, con la técnicas estadísticas más apropiadas al caso, un modelo empírico de medición capaz de proporcionar, utilizando el mínimo número de preguntas de cuestionario sobre estados emocionales, unas estimaciones cuantitativas suficientemente robustas, válidas y fiables. Aquí no </w:t>
      </w:r>
      <w:r w:rsidRPr="005D529F">
        <w:rPr>
          <w:rFonts w:cs="Times New Roman"/>
        </w:rPr>
        <w:lastRenderedPageBreak/>
        <w:t>expondremos los prolijos detalles técnicos del proceso exploratorio y confirmatorio que ha dado lugar finalmente al modelo empírico de medición elegido. Estos detalles pueden consultarse en el artículo donde expusimos a la comunidad académica tanto la definición conceptual como la operacionalización empírica del Índice de Bienestar Socioemocional (IBSE) (Bericat, 2013), que es el índice utilizado en esta investigación para analizar la estructura y la estratificación social de la felicidad en España.</w:t>
      </w:r>
    </w:p>
    <w:p w14:paraId="600B4122" w14:textId="0C5399E6" w:rsidR="0026476F" w:rsidRPr="006D1984" w:rsidRDefault="00306291" w:rsidP="005D529F">
      <w:pPr>
        <w:rPr>
          <w:rFonts w:cs="Times New Roman"/>
        </w:rPr>
      </w:pPr>
      <w:r w:rsidRPr="005D529F">
        <w:rPr>
          <w:rFonts w:cs="Times New Roman"/>
        </w:rPr>
        <w:t xml:space="preserve">La validación de este índice se llevó a cabo con la información aportada por dos encuestas: a) el Barómetro de Diciembre de 2011 del Centro de Investigaciones Sociológicas (Estudio CIS-2923), que, incorporó </w:t>
      </w:r>
      <w:r w:rsidRPr="0026476F">
        <w:rPr>
          <w:rFonts w:cs="Times New Roman"/>
          <w:i/>
        </w:rPr>
        <w:t>ad hoc</w:t>
      </w:r>
      <w:r w:rsidRPr="005D529F">
        <w:rPr>
          <w:rFonts w:cs="Times New Roman"/>
        </w:rPr>
        <w:t xml:space="preserve"> un conjunto de ocho preguntas emocionales con la intención de validar la definición teórica del bienestar socioemocional</w:t>
      </w:r>
      <w:r w:rsidRPr="005D529F">
        <w:rPr>
          <w:rStyle w:val="Refdenotaalpie"/>
          <w:rFonts w:cs="Times New Roman"/>
        </w:rPr>
        <w:footnoteReference w:id="1"/>
      </w:r>
      <w:r w:rsidRPr="005D529F">
        <w:rPr>
          <w:rFonts w:cs="Times New Roman"/>
        </w:rPr>
        <w:t xml:space="preserve">, y b) La tercera oleada de la Encuesta Social Europea (ESE), que incorporó en 2006 una módulo especial sobre Bienestar Personal y Social que contenía un amplio número de preguntas sobre estados emocionales. </w:t>
      </w:r>
    </w:p>
    <w:p w14:paraId="7000B82A" w14:textId="66A60809" w:rsidR="006D1984" w:rsidRDefault="00306291" w:rsidP="005D529F">
      <w:pPr>
        <w:rPr>
          <w:rFonts w:cs="Times New Roman"/>
          <w:lang w:val="es-ES"/>
        </w:rPr>
      </w:pPr>
      <w:r w:rsidRPr="005D529F">
        <w:rPr>
          <w:rFonts w:cs="Times New Roman"/>
          <w:lang w:val="es-ES"/>
        </w:rPr>
        <w:t>Las 8 preguntas realizadas por el barómetro del CIS de Diciembre de 2011, con su formulación exacta, fueron las siguientes: “A continuación le voy a hacer unas preguntas sobre cómo se siente en la actualidad. ¿Podría decirme en qué medida se siente últimamente muy, bastante, poco o nada .... ?” 1): “Orgulloso/a de sí mismo/a”, 2) “Preocupado/a por las cosas que le están sucediendo”, 3) “Rebosante de energía y vitalidad”, 4) “Que está solo/a”, 5) “Que está disfrutando mucho de la vida”, 6) “Deprimido/a, sin ganas de hacer nada”, 7) “Estresado/a por la cantidad de cosas que tiene que hacer”, y 8) “Satisfecho/a con la vida que lleva.</w:t>
      </w:r>
    </w:p>
    <w:p w14:paraId="0A8F26F3" w14:textId="77777777" w:rsidR="006D1984" w:rsidRDefault="006D1984" w:rsidP="005D529F">
      <w:pPr>
        <w:rPr>
          <w:rFonts w:cs="Times New Roman"/>
          <w:lang w:val="es-ES"/>
        </w:rPr>
      </w:pPr>
    </w:p>
    <w:p w14:paraId="30D5FE69" w14:textId="1939CE5B" w:rsidR="006D1984" w:rsidRDefault="006D1984" w:rsidP="005D529F">
      <w:pPr>
        <w:rPr>
          <w:rFonts w:cs="Times New Roman"/>
          <w:lang w:val="es-ES"/>
        </w:rPr>
      </w:pPr>
      <w:r w:rsidRPr="005D529F">
        <w:rPr>
          <w:rFonts w:cs="Times New Roman"/>
          <w:noProof/>
          <w:lang w:val="es-ES"/>
        </w:rPr>
        <w:lastRenderedPageBreak/>
        <w:drawing>
          <wp:anchor distT="0" distB="0" distL="114300" distR="114300" simplePos="0" relativeHeight="251660288" behindDoc="0" locked="0" layoutInCell="1" allowOverlap="1" wp14:anchorId="7504145C" wp14:editId="3B4AFA82">
            <wp:simplePos x="0" y="0"/>
            <wp:positionH relativeFrom="column">
              <wp:posOffset>0</wp:posOffset>
            </wp:positionH>
            <wp:positionV relativeFrom="paragraph">
              <wp:posOffset>139700</wp:posOffset>
            </wp:positionV>
            <wp:extent cx="5097145" cy="254508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s 1 y 2.pdf"/>
                    <pic:cNvPicPr/>
                  </pic:nvPicPr>
                  <pic:blipFill rotWithShape="1">
                    <a:blip r:embed="rId14">
                      <a:extLst>
                        <a:ext uri="{28A0092B-C50C-407E-A947-70E740481C1C}">
                          <a14:useLocalDpi xmlns:a14="http://schemas.microsoft.com/office/drawing/2010/main" val="0"/>
                        </a:ext>
                      </a:extLst>
                    </a:blip>
                    <a:srcRect l="17978" t="12918" r="-10680" b="54457"/>
                    <a:stretch/>
                  </pic:blipFill>
                  <pic:spPr bwMode="auto">
                    <a:xfrm>
                      <a:off x="0" y="0"/>
                      <a:ext cx="5097145" cy="25450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639121A" w14:textId="2AFF24F6" w:rsidR="0000205E" w:rsidRDefault="00306291" w:rsidP="005D529F">
      <w:pPr>
        <w:rPr>
          <w:rFonts w:cs="Times New Roman"/>
          <w:lang w:val="es-ES"/>
        </w:rPr>
      </w:pPr>
      <w:r w:rsidRPr="005D529F">
        <w:rPr>
          <w:rFonts w:cs="Times New Roman"/>
          <w:lang w:val="es-ES"/>
        </w:rPr>
        <w:t>Las 10 preguntas que hemos seleccionado de la Encuesta Social Europea de 2006</w:t>
      </w:r>
      <w:r w:rsidRPr="005D529F">
        <w:rPr>
          <w:rStyle w:val="Refdenotaalpie"/>
          <w:rFonts w:cs="Times New Roman"/>
          <w:lang w:val="es-ES"/>
        </w:rPr>
        <w:footnoteReference w:id="2"/>
      </w:r>
      <w:r w:rsidRPr="005D529F">
        <w:rPr>
          <w:rFonts w:cs="Times New Roman"/>
          <w:lang w:val="es-ES"/>
        </w:rPr>
        <w:t>, con su formulación exacta, fueron las siguientes: “A continuación le voy a leer una lista de sentimientos o comportamientos que quizá usted haya tenido durante la última semana. Por favor, utilice esta tarjeta y dígame con qué frecuencia, durante la última semana ....?” (“En ningún momento, o casi en ningún momento”, “En algún momento”, “Buena parte del tiempo”, y “Todo o casi todo el tiempo”): 1) “se ha sentido deprimido/a”, 2) “se ha sentido feliz”, 3) “se ha sentido solo/a”, 4) “ha tenido la sensación de disfrutar de la vida”, 5) “se ha sentido rebosante de energía”, 6) “se ha sentido tranquilo/a y relajado/a”, 7) “se ha sentido triste”, 8) “se ha sentido realmente descansado/a al levantarse por las mañanas? Los dos estados emocionales restantes se preguntaron con un formato distinto. Se pedía el grado de acuerdo (“Muy de acuerdo”, “De acuerdo”, “Ni de acuerdo ni en desacuerdo”, “En desacuerdo” y “Muy en desacuerdo”) con estas dos frases: 9) “Soy siempre optimista con respecto a mi futuro”, y 10) “Por lo general me siento bien conmigo mismo”.</w:t>
      </w:r>
    </w:p>
    <w:p w14:paraId="264E75C1" w14:textId="77777777" w:rsidR="006D1984" w:rsidRDefault="006D1984" w:rsidP="005D529F">
      <w:pPr>
        <w:rPr>
          <w:rFonts w:cs="Times New Roman"/>
          <w:lang w:val="es-ES"/>
        </w:rPr>
      </w:pPr>
    </w:p>
    <w:p w14:paraId="7720F59D" w14:textId="5B3A7E8A" w:rsidR="006D1984" w:rsidRPr="006D1984" w:rsidRDefault="006D1984" w:rsidP="005D529F">
      <w:pPr>
        <w:rPr>
          <w:rFonts w:cs="Times New Roman"/>
          <w:lang w:val="es-ES"/>
        </w:rPr>
      </w:pPr>
      <w:r w:rsidRPr="005D529F">
        <w:rPr>
          <w:rFonts w:cs="Times New Roman"/>
          <w:noProof/>
          <w:lang w:val="es-ES"/>
        </w:rPr>
        <w:lastRenderedPageBreak/>
        <w:drawing>
          <wp:anchor distT="0" distB="0" distL="114300" distR="114300" simplePos="0" relativeHeight="251659264" behindDoc="0" locked="0" layoutInCell="1" allowOverlap="1" wp14:anchorId="3C1AEB65" wp14:editId="240E7F68">
            <wp:simplePos x="0" y="0"/>
            <wp:positionH relativeFrom="column">
              <wp:posOffset>0</wp:posOffset>
            </wp:positionH>
            <wp:positionV relativeFrom="paragraph">
              <wp:posOffset>127000</wp:posOffset>
            </wp:positionV>
            <wp:extent cx="4949825" cy="297180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s 1 y 2.pdf"/>
                    <pic:cNvPicPr/>
                  </pic:nvPicPr>
                  <pic:blipFill rotWithShape="1">
                    <a:blip r:embed="rId15">
                      <a:extLst>
                        <a:ext uri="{28A0092B-C50C-407E-A947-70E740481C1C}">
                          <a14:useLocalDpi xmlns:a14="http://schemas.microsoft.com/office/drawing/2010/main" val="0"/>
                        </a:ext>
                      </a:extLst>
                    </a:blip>
                    <a:srcRect l="17748" t="7301" r="-3487" b="56400"/>
                    <a:stretch/>
                  </pic:blipFill>
                  <pic:spPr bwMode="auto">
                    <a:xfrm>
                      <a:off x="0" y="0"/>
                      <a:ext cx="4949825" cy="29718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AD1FE8A" w14:textId="4A10762B" w:rsidR="0000205E" w:rsidRDefault="00306291" w:rsidP="005D529F">
      <w:pPr>
        <w:rPr>
          <w:rFonts w:cs="Times New Roman"/>
        </w:rPr>
      </w:pPr>
      <w:r w:rsidRPr="005D529F">
        <w:rPr>
          <w:rFonts w:cs="Times New Roman"/>
        </w:rPr>
        <w:t>Pese a las diferencias existentes en las preguntas y en los formatos utilizados en  ambas encuestas, y tras un proceso de análisis exploratorio en el que se utilizaron las técnicas de Análisis de Componentes Principales (ACP) y de Análisis de Factor Común (AF), se verificó, mediante la técnica del Análisis Factorial Confirmatorio (AFC) (</w:t>
      </w:r>
      <w:r w:rsidRPr="005D529F">
        <w:rPr>
          <w:rFonts w:cs="Times New Roman"/>
          <w:lang w:val="en-GB"/>
        </w:rPr>
        <w:t>Batista</w:t>
      </w:r>
      <w:r w:rsidRPr="005D529F">
        <w:rPr>
          <w:rFonts w:cs="Times New Roman"/>
          <w:lang w:val="en-GB"/>
        </w:rPr>
        <w:noBreakHyphen/>
        <w:t>Foguet et al, 2004</w:t>
      </w:r>
      <w:r w:rsidRPr="005D529F">
        <w:rPr>
          <w:rFonts w:cs="Times New Roman"/>
        </w:rPr>
        <w:t>) (Cea D’Ancona)(</w:t>
      </w:r>
      <w:r w:rsidRPr="005D529F">
        <w:rPr>
          <w:rFonts w:cs="Times New Roman"/>
          <w:lang w:val="en-GB"/>
        </w:rPr>
        <w:t xml:space="preserve">Bollen, 1989) </w:t>
      </w:r>
      <w:r w:rsidRPr="005D529F">
        <w:rPr>
          <w:rFonts w:cs="Times New Roman"/>
          <w:lang w:val="es-ES"/>
        </w:rPr>
        <w:t>(</w:t>
      </w:r>
      <w:r w:rsidRPr="005D529F">
        <w:rPr>
          <w:rFonts w:cs="Times New Roman"/>
          <w:lang w:val="en-GB"/>
        </w:rPr>
        <w:t>Arbuckle, 2010)</w:t>
      </w:r>
      <w:r w:rsidRPr="005D529F">
        <w:rPr>
          <w:rFonts w:cs="Times New Roman"/>
        </w:rPr>
        <w:t>, la bondad de ajuste de un modelo de medición del bienestar subjetivo que incluye cuatro dimensiones. En las Tablas 1 y 2 se incluyen los pesos factoriales de cada una de las variables en los cuatro factores extraídos por el análisis de factor común. Los pesos en negrita señalan aquellas variables que saturan en mayor medida cada factor, facilitando así la interpretación substantiva que corresponde a cada uno de ellos.</w:t>
      </w:r>
    </w:p>
    <w:p w14:paraId="6F625B0E" w14:textId="77777777" w:rsidR="0000205E" w:rsidRDefault="00306291" w:rsidP="005D529F">
      <w:pPr>
        <w:rPr>
          <w:rFonts w:cs="Times New Roman"/>
        </w:rPr>
      </w:pPr>
      <w:r w:rsidRPr="005D529F">
        <w:rPr>
          <w:rFonts w:cs="Times New Roman"/>
        </w:rPr>
        <w:t>El modelo empírico de medición del bienestar subjetivo incorpora cuatro factores que tienen en cuenta la evaluación afectiva o emocional que hace el sujeto de: f1) el nivel de estatus, es decir, la cantidad de recompensas que recibe voluntariamente de los otros; f2) la situación objetiva general en la que vive; f3) el sí-mismo, o sea, el propio “yo” o persona; y f4) el nivel de recursos de poder con los afronta sus interacciones sociales. La felicidad, desde esta perspectiva, es una realidad multidimensional condicionada fundamentalmente por estas cuatro dimensiones.</w:t>
      </w:r>
    </w:p>
    <w:p w14:paraId="36AA6347" w14:textId="516BC481" w:rsidR="00306291" w:rsidRPr="005D529F" w:rsidRDefault="00306291" w:rsidP="005D529F">
      <w:pPr>
        <w:rPr>
          <w:rFonts w:cs="Times New Roman"/>
        </w:rPr>
      </w:pPr>
      <w:r w:rsidRPr="005D529F">
        <w:rPr>
          <w:rFonts w:cs="Times New Roman"/>
        </w:rPr>
        <w:t xml:space="preserve">Recordando el argumento aristotélico de que la felicidad necesita también de los bienes exteriores y que, por tanto, la carencia de algunas cosas, como la nobleza de linaje, los buenos hijos o la belleza, empañan la dicha, “pues uno que fuera de semblante feísimo o mal nacido o solo y sin hijos, no podría ser feliz del todo” (Aristóteles, 2010:40), diríamos que un único rasgo de la vida de una persona puede que influya o condicione su felicidad, pero nunca podrá determinarla completamente. Así, por ejemplo, una persona que sea de “semblante feísimo”, no tiene por qué ser necesariamente infeliz. Puede que, pese a su </w:t>
      </w:r>
      <w:r w:rsidRPr="005D529F">
        <w:rPr>
          <w:rFonts w:cs="Times New Roman"/>
        </w:rPr>
        <w:lastRenderedPageBreak/>
        <w:t>extrema fealdad, la situación objetiva general, que es lo que mide el factor situación, sea gratificante, es decir, que la persona encuentre en esta situación fuentes de disfrute y razones para sentirse feliz. Puede que la fealdad de un hombre o una mujer haya destruido totalmente su autoestima y, por este motivo, no quede entre sus sentimientos ni siquiera un ápice de orgullo. Pero también puede ser que esta persona se valore a sí misma en función de otros atributos o rasgos que le definen como una persona extraordinaria o excelente. Individuos estigmatizados o rechazados por los otros debido a su fealdad, como aquellos a los que se refiere Erving Goffman en Estigma, o aquellos otros fotografiados por Diane Arbus, difícilmente podrían llegar a ser felices. Pero si aquella persona de semblante feísimo, o incluso monstruoso, tal y como nos han hecho ver muchas películas, recibiera al menos una insignificante muestra de reconocimiento, cariño, respeto o amor, dejaría de sentirse totalmente desdichada, considerándose, al menos en esa misma medida, una persona inmensamente feliz. Por último, aún exhibiendo un grado extremo de fealdad, como el rey que exhibía en audiencia pública su desnudez, la persona de semblante desagradable será menos infeliz si en el marco de sus relaciones sociales, y de su vida en general, cuenta con suficientes recursos de poder, sea en la forma de dinero, posición política, educación o fuerza física.</w:t>
      </w:r>
    </w:p>
    <w:p w14:paraId="230E9814" w14:textId="77777777" w:rsidR="0000205E" w:rsidRDefault="00306291" w:rsidP="005D529F">
      <w:pPr>
        <w:rPr>
          <w:rFonts w:cs="Times New Roman"/>
        </w:rPr>
      </w:pPr>
      <w:r w:rsidRPr="005D529F">
        <w:rPr>
          <w:rFonts w:cs="Times New Roman"/>
        </w:rPr>
        <w:t xml:space="preserve">La técnica del Análisis de Factor Común que hemos aplicado genera una medida global del grado de felicidad de cada individuo. Ahora bien, es importante subrayar que esta medida no es una mera agregación de las respuestas dadas por el entrevistado a cada una de la preguntas. La puntuación estimada por el AFC se basa exclusivamente en la varianza común del conjunto de variables utilizadas, es decir, en una “realidad subjetiva” que subyace al conjunto de estados emocionales declarados por el sujeto. Así, por ejemplo, una persona puede expresar un cierto grado de soledad por muchos motivos, sea porque ha estado efectivamente sola durante la última semana, sea porque últimamente se ha sentido realmente sola. En el primer supuesto, la soledad del entrevistado no podría ser explicada por la existencia de una “realidad común” compartida con el resto de las variables. Al contrario, si la soledad declarada es síntoma de un bajo nivel de bienestar subjetivo general, el resto de las variables también indicarán la existencia de este fenómeno subyacente. En suma, el AFC no tendrá en cuenta la soledad del primer supuesto, pero sí la del segundo, para obtener la puntuación que cuantifica el grado de bienestar socioemocional experimentado por esa persona. El análisis AFC, a diferencia de otros análisis, como el Análisis del Componentes Principales (ACP), solo trata de explicar la varianza común </w:t>
      </w:r>
      <w:r w:rsidRPr="005D529F">
        <w:rPr>
          <w:rFonts w:cs="Times New Roman"/>
          <w:lang w:val="es-ES"/>
        </w:rPr>
        <w:t>(Cea, 2002) (Gorsuch,1983)</w:t>
      </w:r>
      <w:r w:rsidRPr="005D529F">
        <w:rPr>
          <w:rFonts w:cs="Times New Roman"/>
        </w:rPr>
        <w:t>, es decir, la parte de cada estado emocional que varía conjuntamente con el resto de estados emocionales declarados por el sujeto.</w:t>
      </w:r>
    </w:p>
    <w:p w14:paraId="7BB0CD44" w14:textId="77777777" w:rsidR="0000205E" w:rsidRDefault="00306291" w:rsidP="006D1984">
      <w:pPr>
        <w:pStyle w:val="Ttulo2"/>
      </w:pPr>
      <w:bookmarkStart w:id="38" w:name="_Toc311991789"/>
      <w:bookmarkStart w:id="39" w:name="_Toc311993018"/>
      <w:r w:rsidRPr="005D529F">
        <w:t xml:space="preserve">2.4 </w:t>
      </w:r>
      <w:r w:rsidR="00F364D3" w:rsidRPr="005D529F">
        <w:t xml:space="preserve"> Las dimensiones de la felicidad</w:t>
      </w:r>
      <w:bookmarkEnd w:id="38"/>
      <w:bookmarkEnd w:id="39"/>
    </w:p>
    <w:p w14:paraId="7B3C79A8" w14:textId="77777777" w:rsidR="0000205E" w:rsidRDefault="00306291" w:rsidP="005D529F">
      <w:pPr>
        <w:rPr>
          <w:rFonts w:cs="Times New Roman"/>
        </w:rPr>
      </w:pPr>
      <w:r w:rsidRPr="005D529F">
        <w:rPr>
          <w:rFonts w:cs="Times New Roman"/>
        </w:rPr>
        <w:t xml:space="preserve">El grado de bienestar socioemocional, en tanto que felicidad, nos ofrece un indicio de la valoración que hace el propio individuo de la  “correspondencia entre la posibilidad y la </w:t>
      </w:r>
      <w:r w:rsidRPr="005D529F">
        <w:rPr>
          <w:rFonts w:cs="Times New Roman"/>
        </w:rPr>
        <w:lastRenderedPageBreak/>
        <w:t>realidad, entre la armonía del cuerpo y el espacio histórico concreto, donde este se desarrolla y alienta” (Lledó, 2011:64). Dicho de otra manera, “la felicidad debe ser considerada como el resultado de un proceso de interacción entre, por una parte, las aspiraciones y expectativas del individuo y, por otra parte, las más o menos favorables condiciones micro y macro-sociales” (Haller y Hadler, 2006:171). Hemos visto que el modelo de bienestar subjetivo que presentamos pone de relieve cuatro dimensiones fundamentales e independientes que inciden sobre la felicidad: la situación, la persona, el estatus y el poder. Por ello, a la hora de comprender el grado de felicidad experimentado por un sujeto, es preciso distinguir claramente la naturaleza de estos cuatro factores.</w:t>
      </w:r>
    </w:p>
    <w:p w14:paraId="08C8DD78" w14:textId="77777777" w:rsidR="006D1984" w:rsidRDefault="00306291" w:rsidP="006D1984">
      <w:pPr>
        <w:pStyle w:val="Ttulo3"/>
        <w:rPr>
          <w:rFonts w:cs="Times New Roman"/>
        </w:rPr>
      </w:pPr>
      <w:bookmarkStart w:id="40" w:name="_Toc311991790"/>
      <w:bookmarkStart w:id="41" w:name="_Toc311993019"/>
      <w:r w:rsidRPr="006D1984">
        <w:t>f1)</w:t>
      </w:r>
      <w:bookmarkEnd w:id="40"/>
      <w:bookmarkEnd w:id="41"/>
      <w:r w:rsidRPr="005D529F">
        <w:rPr>
          <w:rFonts w:cs="Times New Roman"/>
        </w:rPr>
        <w:t xml:space="preserve"> </w:t>
      </w:r>
    </w:p>
    <w:p w14:paraId="5301B7A4" w14:textId="1CE4FB38" w:rsidR="0000205E" w:rsidRDefault="00306291" w:rsidP="005D529F">
      <w:pPr>
        <w:rPr>
          <w:rFonts w:cs="Times New Roman"/>
        </w:rPr>
      </w:pPr>
      <w:r w:rsidRPr="005D529F">
        <w:rPr>
          <w:rFonts w:cs="Times New Roman"/>
        </w:rPr>
        <w:t>Muchos estados emocionales están correlacionados con el factor estatus: depresión, soledad, tristeza, bajo nivel de energía y vitalidad, sensación de que cuesta hacer mucho cualquier cosa, sentirse sin ánimo, sentimiento de ansiedad, aburrimiento, y otros. Aunque la depresión puede estar condicionada por una persistente incapacidad y frustración del sujeto debida a la falta de recursos de poder (Seligman, 1975), en general, como ya hemos visto, estos sentimientos están íntimamente vinculados con la ausencia del tipo de gratificaciones características de la dimensión relacional de estatus, es decir, aquellas que los otros nos ofrecen, no como resultado de un intercambio, ni debido al poder que tenemos sobre ellos, sino voluntariamente en virtud del aprecio, el respecto, el reconocimiento de nuestro valor, el afecto que nos tienen o el amor que nos profesan (Kemper, 1978). La teoría sociológica de la vergüenza, de Thomas J. Scheff, basada en la idea de que este sentimiento tan doloroso señala al propio sujeto un deterioro del vínculo social que mantiene con los otros (Scheff, 1990), explicaría la pérdida del buen ánimo y la infelicidad causada por la insuficiencia de nuestro nivel macro o micro de status social.</w:t>
      </w:r>
    </w:p>
    <w:p w14:paraId="178656C8" w14:textId="77777777" w:rsidR="006D1984" w:rsidRDefault="00306291" w:rsidP="006D1984">
      <w:pPr>
        <w:pStyle w:val="Ttulo3"/>
      </w:pPr>
      <w:bookmarkStart w:id="42" w:name="_Toc311991791"/>
      <w:bookmarkStart w:id="43" w:name="_Toc311993020"/>
      <w:r w:rsidRPr="005D529F">
        <w:t>f2)</w:t>
      </w:r>
      <w:bookmarkEnd w:id="42"/>
      <w:bookmarkEnd w:id="43"/>
      <w:r w:rsidRPr="005D529F">
        <w:t xml:space="preserve"> </w:t>
      </w:r>
    </w:p>
    <w:p w14:paraId="01C126BE" w14:textId="17BBFC6B" w:rsidR="0000205E" w:rsidRDefault="00306291" w:rsidP="005D529F">
      <w:pPr>
        <w:rPr>
          <w:rFonts w:cs="Times New Roman"/>
        </w:rPr>
      </w:pPr>
      <w:r w:rsidRPr="005D529F">
        <w:rPr>
          <w:rFonts w:cs="Times New Roman"/>
        </w:rPr>
        <w:t>Múltiples investigaciones (Venhooven, 1984) (Diener et al., 2012) muestran que mediante los estados emocionales de este factor (disfrute; felicidad; satisfacción con la vida; energía y vitalidad; y otros), el individuo evalúa subjetivamente las condiciones generales, objetivas y externas que caracterizan su situación de vida en el momento presente. Este factor podría considerarse análogo al concepto de energía emocional postulado por Collins, que comporta ciertos niveles de alegría y de tono vital. Sería también análogo al concepto que trata de captar la tradicional escala univariable de felicidad, con la diferencia de que el factor situación del modelo es una dimensión mucho más pura e independiente, pues para su cálculo han sido eliminadas las influencias procedentes del resto de los factores.</w:t>
      </w:r>
    </w:p>
    <w:p w14:paraId="21CF4C78" w14:textId="77777777" w:rsidR="006D1984" w:rsidRDefault="00306291" w:rsidP="006D1984">
      <w:pPr>
        <w:pStyle w:val="Ttulo3"/>
      </w:pPr>
      <w:bookmarkStart w:id="44" w:name="_Toc311991792"/>
      <w:bookmarkStart w:id="45" w:name="_Toc311993021"/>
      <w:r w:rsidRPr="005D529F">
        <w:lastRenderedPageBreak/>
        <w:t>f3)</w:t>
      </w:r>
      <w:bookmarkEnd w:id="44"/>
      <w:bookmarkEnd w:id="45"/>
      <w:r w:rsidRPr="005D529F">
        <w:t xml:space="preserve"> </w:t>
      </w:r>
    </w:p>
    <w:p w14:paraId="68B3B949" w14:textId="28B568E5" w:rsidR="0000205E" w:rsidRDefault="00306291" w:rsidP="005D529F">
      <w:pPr>
        <w:rPr>
          <w:rFonts w:cs="Times New Roman"/>
        </w:rPr>
      </w:pPr>
      <w:r w:rsidRPr="005D529F">
        <w:rPr>
          <w:rFonts w:cs="Times New Roman"/>
        </w:rPr>
        <w:t>A diferencia del factor situación, la dimensión personal de la felicidad, a la que aluden constantemente los filósofos, distinguiéndola con toda claridad de la situación objetiva y externa, no refleja tan solo el momento presente, sino que incorpora y proyecta sobre el futuro los resultados obtenidos en las experiencias del pasado. La memoria biográfica ofrece indicios fidedignos de los recursos personales y psicológicos con los que cuenta un sujeto para abordar tanto el presente como el futuro. Por este motivo, la autoestima y el optimismo están íntimamente correlacionados (Huppert et al., 2010) (Stets, 2010) (</w:t>
      </w:r>
      <w:r w:rsidRPr="005D529F">
        <w:rPr>
          <w:rFonts w:cs="Times New Roman"/>
          <w:lang w:val="es-ES"/>
        </w:rPr>
        <w:t xml:space="preserve">Tinkler y Hicks, </w:t>
      </w:r>
      <w:r w:rsidRPr="005D529F">
        <w:rPr>
          <w:rFonts w:cs="Times New Roman"/>
        </w:rPr>
        <w:t>2011), pues el orgullo constituye una especie de depósito de la valoración y  confianza que los sujetos tenemos en nosotros mismos. Son estados emocionales de naturaleza diacrónica, pues se alimentan de los éxitos o fracasos que el sujeto haya experimentado en el pasado, proyectándose hacia el futuro en forma de energía, confianza y determinación acumuladas. Kemper (2006:101) sostiene que del optimismo y el pesimismo, y de la confianza o falta de confianza en sí mismo, derivan las emociones anticipatorias. Los estados emocionales de este factor personal (orgullo; autoestima; optimismo; la sensación de ser un fracasado; el sentimiento de que la vida es como te gustaría) expresan la valoración que el propio sujeto tiene de su yo o del sí mismo, valoración que es en gran parte independiente de la situación particular que esté viviendo el sujeto en un determinado momento. Ahora bien, esto no significa que un deterioro grave y prolongado de la situación objetiva puede llegar a ocasionar un profunda desintegración o pérdida del propio yo (Charmaz, 1983), lo que ineluctablemente tendrá dramáticas consecuencias sobre su buen ánimo y felicidad.</w:t>
      </w:r>
    </w:p>
    <w:p w14:paraId="5285CFBD" w14:textId="77777777" w:rsidR="006D1984" w:rsidRDefault="00306291" w:rsidP="006D1984">
      <w:pPr>
        <w:pStyle w:val="Ttulo3"/>
      </w:pPr>
      <w:bookmarkStart w:id="46" w:name="_Toc311991793"/>
      <w:bookmarkStart w:id="47" w:name="_Toc311993022"/>
      <w:r w:rsidRPr="005D529F">
        <w:t>f4)</w:t>
      </w:r>
      <w:bookmarkEnd w:id="46"/>
      <w:bookmarkEnd w:id="47"/>
      <w:r w:rsidRPr="005D529F">
        <w:t xml:space="preserve"> </w:t>
      </w:r>
    </w:p>
    <w:p w14:paraId="69465D3E" w14:textId="727F687D" w:rsidR="0000205E" w:rsidRDefault="00306291" w:rsidP="005D529F">
      <w:pPr>
        <w:rPr>
          <w:rFonts w:cs="Times New Roman"/>
        </w:rPr>
      </w:pPr>
      <w:r w:rsidRPr="005D529F">
        <w:rPr>
          <w:rFonts w:cs="Times New Roman"/>
        </w:rPr>
        <w:t xml:space="preserve">Por último, los estados emocionales capaces de indicar que el sujeto evalúa sus recursos de poder como suficientes o insuficientes para afrontar su situación de vida (miedo, preocupación, stress, energía y vitalidad, tranquilidad y relax, sensación de haber descansado al levantarse por la mañana, y otros) pueden ser también muy diversos. En la batería de preguntas que propusimos al Centro de Investigaciones Sociológicas optamos por introducir sentimientos negativos, como las preocupaciones, que pueden indicar que el sujeto teme las consecuencias de posibles sucesos que no controla del todo, o como el estrés, que a diferencia de la vitalidad voluntariamente asumida, puede indicar que alguna circunstancia de la vida, o alguna persona, está forzando al sujeto a realizar una actividad que excede en cantidad o calidad sus capacidades o sus deseos. Así pues, “tanto la preocupación como el estrés son indicio del insuficiente control o dominio que tiene el individuo sobre su situación general de vida o sobre algún aspecto importante de la misma” (Bericat, 2013). En la batería de items emocionales de la Encuesta social Europea, la profesora Huppert no incluyó estos sentimientos negativos, pero sí otros positivos que también están relacionados con los recursos de poder de los individuos. El hecho de despertarse por las mañanas con la sensación de haber descansado durante la noche indicaría que las preocupaciones que pueda tener el sujeto no han sido capaces de </w:t>
      </w:r>
      <w:r w:rsidRPr="005D529F">
        <w:rPr>
          <w:rFonts w:cs="Times New Roman"/>
        </w:rPr>
        <w:lastRenderedPageBreak/>
        <w:t>alterar su sueño. Asimismo, el hecho de vivir tranquilo y relajado indicaría que ni sus obligaciones cotidianas llegan a producirle estrés, ni sus preocupaciones llegan a provocarle  ansiedad. La ataraxia, la tranquilidad, la impavidez y la imperturbabilidad de los filósofos griegos estarían íntimamente conectadas con este factor clave del bienestar socioemocional.</w:t>
      </w:r>
    </w:p>
    <w:p w14:paraId="03D94F6B" w14:textId="7E43C426" w:rsidR="0000205E" w:rsidRDefault="00306291" w:rsidP="005D529F">
      <w:pPr>
        <w:rPr>
          <w:rFonts w:cs="Times New Roman"/>
        </w:rPr>
      </w:pPr>
      <w:r w:rsidRPr="005D529F">
        <w:rPr>
          <w:rFonts w:cs="Times New Roman"/>
        </w:rPr>
        <w:t>En suma, en esta investigación proponemos un modelo empírico multivariable y multidimensional para medir, mediante la aplicación de encuestas sociales, la felicidad de las personas registrando un conjunto de estados emocionales indicativos de su bienestar subjetivo. Este modelo de medición, cuya bondad de ajuste ha sido validada internamente mediante el análisis factorial confirmatorio (Bericat, 2013), y cuya validez externa ha sido ya verificada en algunas investigaciones sociales (Bericat, 2014a, 2014b), ofrece tanto una cuantificación general del bienestar subjetivo de cada sujeto, como una cuantificación de cada una de las cuatro dimensiones que componen el modelo, esto es, la situación y la persona, el estatus y el poder. A cada una de estas dimensiones corresponde un estado afectivo general: el estar contento, la autoestima, el tener buen ánimo y la calma.</w:t>
      </w:r>
    </w:p>
    <w:p w14:paraId="08530F2D" w14:textId="4FEF32C2" w:rsidR="003B43C1" w:rsidRPr="005D529F" w:rsidRDefault="00306291" w:rsidP="005D529F">
      <w:pPr>
        <w:rPr>
          <w:rFonts w:cs="Times New Roman"/>
        </w:rPr>
      </w:pPr>
      <w:r w:rsidRPr="005D529F">
        <w:rPr>
          <w:rFonts w:cs="Times New Roman"/>
        </w:rPr>
        <w:t xml:space="preserve">Para facilitar la introducción de este modelo multidimensional de medición de la felicidad en las encuestas sociales, superando así la práctica tradicional de incluir tan solo la escala de felicidad o de satisfacción, era absolutamente necesario crear un modelo con el menor número de variables posible, es decir, un modelo que cumpliera el principio científico de parsimonia. Por ello, usando tanto las preguntas como los formatos de la Encuesta Social Europea, proponemos finalmente un modelo estándar de medición del bienestar subjetivo compuesto por ocho ítems emocionales (Figura 2).  </w:t>
      </w:r>
    </w:p>
    <w:p w14:paraId="1CD873A8" w14:textId="77777777" w:rsidR="006D1984" w:rsidRDefault="006D1984" w:rsidP="005D529F">
      <w:pPr>
        <w:rPr>
          <w:rFonts w:cs="Times New Roman"/>
        </w:rPr>
      </w:pPr>
    </w:p>
    <w:p w14:paraId="01AF8E43" w14:textId="77777777" w:rsidR="006D1984" w:rsidRDefault="006D1984" w:rsidP="005D529F">
      <w:pPr>
        <w:rPr>
          <w:rFonts w:cs="Times New Roman"/>
        </w:rPr>
        <w:sectPr w:rsidR="006D1984" w:rsidSect="00F458C5">
          <w:headerReference w:type="default" r:id="rId16"/>
          <w:pgSz w:w="11900" w:h="16840"/>
          <w:pgMar w:top="2041" w:right="1814" w:bottom="1758" w:left="1814" w:header="709" w:footer="709" w:gutter="0"/>
          <w:pgNumType w:start="20"/>
          <w:cols w:space="708"/>
          <w:titlePg/>
          <w:docGrid w:linePitch="360"/>
        </w:sectPr>
      </w:pPr>
    </w:p>
    <w:p w14:paraId="723D8559" w14:textId="4F56F1DA" w:rsidR="0000205E" w:rsidRDefault="00B94731" w:rsidP="00B94731">
      <w:pPr>
        <w:pStyle w:val="Ttulo1"/>
      </w:pPr>
      <w:bookmarkStart w:id="48" w:name="_Toc311991794"/>
      <w:bookmarkStart w:id="49" w:name="_Toc311993023"/>
      <w:bookmarkStart w:id="50" w:name="_Toc311998415"/>
      <w:r>
        <w:lastRenderedPageBreak/>
        <w:t>3</w:t>
      </w:r>
      <w:r w:rsidR="004348F6" w:rsidRPr="005D529F">
        <w:t xml:space="preserve"> El bienestar emocional en la sociedad española</w:t>
      </w:r>
      <w:bookmarkEnd w:id="48"/>
      <w:bookmarkEnd w:id="49"/>
      <w:bookmarkEnd w:id="50"/>
    </w:p>
    <w:p w14:paraId="6188FCE6" w14:textId="77777777" w:rsidR="0000205E" w:rsidRDefault="004348F6" w:rsidP="00B94731">
      <w:pPr>
        <w:pStyle w:val="Ttulo2"/>
      </w:pPr>
      <w:bookmarkStart w:id="51" w:name="_Toc311991795"/>
      <w:bookmarkStart w:id="52" w:name="_Toc311993024"/>
      <w:r w:rsidRPr="005D529F">
        <w:t>3.1  La estructura afectiva de los españoles</w:t>
      </w:r>
      <w:bookmarkEnd w:id="51"/>
      <w:bookmarkEnd w:id="52"/>
    </w:p>
    <w:p w14:paraId="3D480DB7" w14:textId="77777777" w:rsidR="0000205E" w:rsidRDefault="004348F6" w:rsidP="005D529F">
      <w:pPr>
        <w:rPr>
          <w:rFonts w:cs="Times New Roman"/>
        </w:rPr>
      </w:pPr>
      <w:r w:rsidRPr="005D529F">
        <w:rPr>
          <w:rFonts w:cs="Times New Roman"/>
        </w:rPr>
        <w:t xml:space="preserve">Las escalas de satisfacción y de felicidad son la forma más elemental y sencilla de conocer mediante la técnica de encuesta el bienestar subjetivo de un entrevistado. Aunque existen muchas variantes similares de formatos de preguntas y de posibles respuestas a la hora de construir estas escalas, todas ellas se ajustan a un concepto de felicidad definida como el </w:t>
      </w:r>
      <w:r w:rsidRPr="005D529F">
        <w:rPr>
          <w:rFonts w:cs="Times New Roman"/>
          <w:bCs/>
          <w:lang w:val="es-ES"/>
        </w:rPr>
        <w:t xml:space="preserve">“grado en que un individuo juzga en general favorablemente la calidad de su propia vida considerada como un todo” (Veenhoven, 2012b:64) (Veenhoven, 1984:22-25). En la </w:t>
      </w:r>
      <w:r w:rsidRPr="005D529F">
        <w:rPr>
          <w:rFonts w:cs="Times New Roman"/>
        </w:rPr>
        <w:t>página web del World Database of Happiness, creada por el profesor Ruut Veenhoven (2012a), se relacionan y describen casi todas las técnicas que han sido utilizadas para medir la felicidad. Debido a su sencillez, las escalas de satisfacción y de felicidad han sido ampliamente utilizadas, hasta el punto de que hoy forman parte del contenido habitual de los cuestionarios de los estudios científico-sociales. Además, estas medidas tan elementales de la felicidad y de la satisfacción han demostrado tener una amplia validez externa, ya que sus puntuaciones correlacionan en la forma esperada con un elevado número de variables  y de factores objetivos relacionados con la calidad de vida y con la calidad social de los países (Diener et al., 2012) (Veenhoven, 1994).</w:t>
      </w:r>
    </w:p>
    <w:p w14:paraId="753B5F1B" w14:textId="77777777" w:rsidR="0000205E" w:rsidRDefault="004348F6" w:rsidP="005D529F">
      <w:pPr>
        <w:rPr>
          <w:rFonts w:cs="Times New Roman"/>
        </w:rPr>
      </w:pPr>
      <w:r w:rsidRPr="005D529F">
        <w:rPr>
          <w:rFonts w:cs="Times New Roman"/>
        </w:rPr>
        <w:t>Sin embargo, no todas las correlaciones son tan intensas como se cree ni siempre se ajustan a lo esperado. Por ejemplo, la moderada correlación existente entre la felicidad y el PIB explicaría que “los polacos (7,07) declaren tener un mayor grado de satisfacción que los húngaros (5,77), pese a tener un Producto Interior Bruto per capita similar, o que los rumanos (6,74) declaren un nivel de satisfacción similar a de los italianos (6,87), pese a que el PIB per capita de Rumania es tan sólo la mitad que el de Italia” (Eurofound, 2012:18). Esto muestra, en primer lugar, que el bienestar subjetivo de un país no es equiparable a su nivel de riqueza y, en segundo lugar, que pueden alcanzarse distintos grados de felicidad con un mismo nivel de recursos económicos. La cultura también juega un papel a la hora de explicar los niveles relativos de felicidad de los países, como al parecer sucede con Francia, que muestra unos relativamente bajos niveles tanto de felicidad como de satisfacción. Pero, en general, está demostrado que los niveles de felicidad y satisfacción no expresan únicamente diferencias culturales (Bolle y Kemp, 2009).</w:t>
      </w:r>
    </w:p>
    <w:p w14:paraId="370CB730" w14:textId="77777777" w:rsidR="0000205E" w:rsidRDefault="004348F6" w:rsidP="005D529F">
      <w:pPr>
        <w:rPr>
          <w:rFonts w:cs="Times New Roman"/>
        </w:rPr>
      </w:pPr>
      <w:r w:rsidRPr="005D529F">
        <w:rPr>
          <w:rFonts w:cs="Times New Roman"/>
        </w:rPr>
        <w:t xml:space="preserve">Pese a que las escalas de felicidad y de satisfacción están correlacionadas entre sí, ha de tenerse en cuenta que no miden exactamente lo mismo, pues mientras que la de felicidad tiene un contenido más afectivo o emotivo, la valoración que ofrece la escala de satisfacción general con la vida es más cognitiva o reflexiva (Haller y Hadler, 2006) </w:t>
      </w:r>
      <w:r w:rsidRPr="005D529F">
        <w:rPr>
          <w:rFonts w:cs="Times New Roman"/>
        </w:rPr>
        <w:lastRenderedPageBreak/>
        <w:t>(Kahneman y Krueger, 2006). En segundo lugar, la puntuaciones de los países en la escala de felicidad suelen ser más altas que las de la escala de satisfacción, si bien esta diferencia se reduce paulatinamente conforme aumenta el bienestar subjetivo del país (Eurofound, 2012). En tercer lugar, las mediciones de la escala de felicidad suelen ser más estables que las de la satisfacción, poniendo de manifiesto que el logro de felicidad es considerado por los propios individuos más bien una responsabilidad personal, mientras que en el juicio de la satisfacción general con la vida las personas tienen más en cuenta el contexto externo o situación.</w:t>
      </w:r>
    </w:p>
    <w:p w14:paraId="109F5465" w14:textId="77777777" w:rsidR="0000205E" w:rsidRDefault="004348F6" w:rsidP="005D529F">
      <w:pPr>
        <w:rPr>
          <w:rFonts w:cs="Times New Roman"/>
        </w:rPr>
      </w:pPr>
      <w:r w:rsidRPr="005D529F">
        <w:rPr>
          <w:noProof/>
          <w:lang w:val="es-ES"/>
        </w:rPr>
        <w:drawing>
          <wp:anchor distT="0" distB="0" distL="114300" distR="114300" simplePos="0" relativeHeight="251662336" behindDoc="0" locked="0" layoutInCell="1" allowOverlap="1" wp14:anchorId="5406A600" wp14:editId="1E1B21C6">
            <wp:simplePos x="0" y="0"/>
            <wp:positionH relativeFrom="column">
              <wp:posOffset>0</wp:posOffset>
            </wp:positionH>
            <wp:positionV relativeFrom="paragraph">
              <wp:posOffset>720725</wp:posOffset>
            </wp:positionV>
            <wp:extent cx="2399665" cy="125984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3.1.pdf"/>
                    <pic:cNvPicPr/>
                  </pic:nvPicPr>
                  <pic:blipFill rotWithShape="1">
                    <a:blip r:embed="rId17">
                      <a:extLst>
                        <a:ext uri="{28A0092B-C50C-407E-A947-70E740481C1C}">
                          <a14:useLocalDpi xmlns:a14="http://schemas.microsoft.com/office/drawing/2010/main" val="0"/>
                        </a:ext>
                      </a:extLst>
                    </a:blip>
                    <a:srcRect l="13343" t="8489" r="41588" b="74790"/>
                    <a:stretch/>
                  </pic:blipFill>
                  <pic:spPr bwMode="auto">
                    <a:xfrm>
                      <a:off x="0" y="0"/>
                      <a:ext cx="2399665" cy="12598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D529F">
        <w:rPr>
          <w:rFonts w:cs="Times New Roman"/>
        </w:rPr>
        <w:t>En la Tabla 3.1 podemos ver que el nivel de felicidad de los españoles en 2012 es bastante alto, 7,59, y pese a todas las consecuencias sociales derivadas de la crisis económica de 2008, tan solo un poco inferior que el de 2006, que era de 7,59. Sin embargo, la satisfacción general con la vida de los españoles en 2012, que es de 6,91, e inferior al nivel de felicidad, sí que registra una importante descenso con respecto a la de 2006, que era de 7,59. En comparación con los veinte países en ambas oleadas de la Encuesta Social Europea</w:t>
      </w:r>
      <w:r w:rsidRPr="005D529F">
        <w:rPr>
          <w:rStyle w:val="Refdenotaalpie"/>
          <w:rFonts w:cs="Times New Roman"/>
        </w:rPr>
        <w:footnoteReference w:id="3"/>
      </w:r>
      <w:r w:rsidRPr="005D529F">
        <w:rPr>
          <w:rFonts w:cs="Times New Roman"/>
        </w:rPr>
        <w:t>, comprobamos que, a diferencia de lo que ha sucedido en España, en Europa se han incrementado tanto el nivel de felicidad como el de satisfacción. El nivel de felicidad de los españoles es superior al europeo tanto en 2006 como en 2012. Sin embargo, el descenso experimentado por la satisfacción con la vida de los españoles ha hecho que su nivel esté ahora por debajo del de los europeos.</w:t>
      </w:r>
    </w:p>
    <w:p w14:paraId="6E5C08F3" w14:textId="77777777" w:rsidR="0000205E" w:rsidRDefault="004348F6" w:rsidP="005D529F">
      <w:pPr>
        <w:rPr>
          <w:rFonts w:cs="Times New Roman"/>
        </w:rPr>
      </w:pPr>
      <w:r w:rsidRPr="005D529F">
        <w:rPr>
          <w:rFonts w:cs="Times New Roman"/>
        </w:rPr>
        <w:t xml:space="preserve">Ahora bien, pese al grado de validez y fiabilidad que han demostrado tener ambas escalas para analizar el bienestar subjetivo de las personas y de los países, la sencillez de su construcción, basada en una única variable, pone de manifiesto las dos debilidades metodológicas más importantes de esta forma de medir la felicidad o la satisfacción (Huppert y So, 2009 y 2013). La primera debilidad, de carácter epistemológico, estriba en que al medir la felicidad con una única variable suponemos, implícitamente al menos, que la felicidad es una única emoción, y este supuesto es estrictamente falso. No existe ninguna emoción concreta conocida que se corresponda con aquello que tanto los filósofos como la gente corriente llaman felicidad. En sentido estricto, la felicidad es una meta-emoción, es decir, el sentimiento que emerge de una estructura afectiva compleja compuesta por muy diferentes estados emocionales. Así, el alto nivel de felicidad declarado mediante la respuesta a un única pregunta, como por ejemplo el nivel de felicidad de los españoles en 2012, puede encubrir, según veremos un poco más adelante, otros estados emocionales negativos, como puede ser un alto nivel de preocupación cotidiana (Veenhoven 2012:71). Si la felicidad es una meta-emoción sustentada sobre una </w:t>
      </w:r>
      <w:r w:rsidRPr="005D529F">
        <w:rPr>
          <w:rFonts w:cs="Times New Roman"/>
        </w:rPr>
        <w:lastRenderedPageBreak/>
        <w:t>estructura de estados emocionales, será necesario conocer estos estados para analizar adecuadamente esa felicidad.</w:t>
      </w:r>
    </w:p>
    <w:p w14:paraId="5E0AF7B1" w14:textId="77777777" w:rsidR="0000205E" w:rsidRDefault="004348F6" w:rsidP="005D529F">
      <w:pPr>
        <w:rPr>
          <w:rFonts w:cs="Times New Roman"/>
        </w:rPr>
      </w:pPr>
      <w:r w:rsidRPr="005D529F">
        <w:rPr>
          <w:rFonts w:cs="Times New Roman"/>
        </w:rPr>
        <w:t>La segunda debilidad de estas escalas, en tanto modelos de medida univariables, estriba en que nos ofrecen una información que podemos catalogar metodológicamente como de “caja hermética”. Conocemos que la media de felicidad de los españoles en 2006 era 7,64, y que en 2012 fue 7,59, pero es imposible llegar a saber qué significan exactamente esas dos puntuaciones. Podremos decir que un nivel de felicidad es mayor que el otro pero, a partir de allí, el silencio se impone. El hermetismo del dato no nos permite ir más allá, ni tampoco mirar lo que hay en su interior. Las escalas univariables de felicidad y de satisfacción son cajas metodológicamente herméticas y substantivamente indescifrables. De ahí la importancia de usar un modelo  multivariable de medición que permita de-construir emocionalmente la medida, y que permita revelar en su caso la estructura afectiva que sustenta un determinado grado de felicidad.</w:t>
      </w:r>
    </w:p>
    <w:p w14:paraId="0D00B2EE" w14:textId="77777777" w:rsidR="0000205E" w:rsidRDefault="004348F6" w:rsidP="005D529F">
      <w:pPr>
        <w:rPr>
          <w:rFonts w:cs="Times New Roman"/>
        </w:rPr>
      </w:pPr>
      <w:r w:rsidRPr="005D529F">
        <w:rPr>
          <w:rFonts w:cs="Times New Roman"/>
        </w:rPr>
        <w:t>En la Tabla 3.2, y en el resto de tablas de este capítulo, desde la 3.3 hasta la 3.6, se muestra la estructura afectiva o de estados emocionales en la que se sustenta el grado de bienestar emocional de la población española en 2006 y en 2012. Sin embargo, antes de ofrecer la datos, y con el fin de poder interpretarlos correctamente, es necesario establecer una importante clarificación conceptual. Los estados emocionales que se presentan en las tablas están vinculados a la felicidad individual y, por tanto, en sentido estricto únicamente forman parte del mundo íntimo de las personas. Siendo esto así, no pueden esperarse grandes variaciones de los resultados en estas dos fechas, pese a que el contexto social, político y económico de España, como todos sabemos, haya cambiado radicalmente. En suma, es imprescindible distinguir entre, por un lado, emociones privadas, cuyo fundamento y funcionalidad están anclados y circunscritos al universo personal o interaccional de los individuos, y emociones colectivas o públicas, que si bien también son sentidas y expresadas por las personas, tienen su fundamento en la pertenencia del individuo a un grupo, un colectivo o una comunidad, y operan según una funcionalidad social que excede con mucho los estrictos límites de la individualidad personal del “yo” (Bericat, 2012 y 2002).</w:t>
      </w:r>
    </w:p>
    <w:p w14:paraId="2F3602FE" w14:textId="77777777" w:rsidR="0000205E" w:rsidRDefault="004348F6" w:rsidP="005D529F">
      <w:pPr>
        <w:rPr>
          <w:rFonts w:cs="Times New Roman"/>
        </w:rPr>
      </w:pPr>
      <w:r w:rsidRPr="005D529F">
        <w:rPr>
          <w:rFonts w:cs="Times New Roman"/>
        </w:rPr>
        <w:t xml:space="preserve">Es evidente que todos los miembros de una sociedad participan “en” y “de” climas emocionales (De Rivera, 1992). Así, de la misma forma que analizamos las opiniones públicas, también podemos estudiar las emociones públicas. Es indudable que las emociones colectivas pueden fluctuar más rápida e intensamente que los estados emocionales que sustentan la estructura afectiva de la felicidad, que es algo personal. Por ejemplo, la satisfacción con la economía del país sufrió en España un verdadero desplome, pasando de 5,32 en 2006, a 2,16 en 2012. De la misma manera, tan solo un 10,1% de los españoles manifestó en 2006 insatisfacción con la democracia pero, tan solo seis años más tarde, en 2012, el porcentaje se había disparado hasta el 40,9%. Como último ejemplo, diremos que el nivel de confianza de los españoles en sus políticos, que era 3,49 en 2006, cae hasta el 1,91 en 2012 (Bericat, 2015). Pues bien, a pesar del extraordinario interés sociológico, político, cultural y económico que tiene el estudio de </w:t>
      </w:r>
      <w:r w:rsidRPr="005D529F">
        <w:rPr>
          <w:rFonts w:cs="Times New Roman"/>
        </w:rPr>
        <w:lastRenderedPageBreak/>
        <w:t>los climas emocionales y de las emociones colectivas de una sociedad, debe quedar claro que este no es el objeto de la presente investigación. La finalidad de este estudio es analizar el bienestar emocional de las personas.</w:t>
      </w:r>
    </w:p>
    <w:p w14:paraId="77A41B6E" w14:textId="77777777" w:rsidR="0000205E" w:rsidRDefault="004348F6" w:rsidP="005D529F">
      <w:pPr>
        <w:rPr>
          <w:rFonts w:cs="Times New Roman"/>
        </w:rPr>
      </w:pPr>
      <w:r w:rsidRPr="005D529F">
        <w:rPr>
          <w:rFonts w:cs="Times New Roman"/>
        </w:rPr>
        <w:t>Ahora bien, es obvio que la felicidad de los individuos está íntimamente vinculada, como señalaron los filósofos griegos, a la calidad de la sociedad, a la calidad de la polis. Así, por ejemplo, el análisis de los estados emocionales de Grecia en 2011, sumida en una profunda crisis desde 2008, demuestra que incluso el destino más íntimo de las personas está indefectiblemente unido al destino de su sociedad. Según datos de la Encuesta Europea de Calidad de Vida de 2011, la mitad de los griegos (50,8%) se habían sentido particularmente tensos la mayor parte del tiempo, bastantes más que en España (17,1%), y muchos más que en Dinamarca (13,3%). Uno de cada cuatro griegos (25,8%) dijeron sentirse solos la mayor parte del tiempo, bastante más que en España (11,1%), y muchísimo más que en Dinamarca (4,4%). El 37,3% de la población griega estaba desanimada o deprimida, pero solo el 12,6% de la española, y el 4,1% de la danesa. Muchos griegos (39,1%) confesaron que su vida diaria no estaba precisamente llena de cosas que le interesaran, y así lo hicieron el 23% de los españoles, o el 15,8% de los daneses. En suma, los datos demuestran que una profunda crisis social, como la que está sufriendo el pueblo griego, puede alterar profundamente el corazón de los individuos haciendo infelices a las personas. Repitiendo las palabras Demócrito d</w:t>
      </w:r>
      <w:r w:rsidR="002E49CF" w:rsidRPr="005D529F">
        <w:rPr>
          <w:rFonts w:cs="Times New Roman"/>
        </w:rPr>
        <w:t>e Abdera: “Y es que una ciudad</w:t>
      </w:r>
      <w:r w:rsidRPr="005D529F">
        <w:rPr>
          <w:rFonts w:cs="Times New Roman"/>
        </w:rPr>
        <w:t xml:space="preserve"> bien encaminada comporta el máximo bienestar y en ella se encuentra todo; y si ella subsiste, todo subsiste; pero si se arruina, todo se arruina” (fr. 252 DK). </w:t>
      </w:r>
    </w:p>
    <w:p w14:paraId="13804A6B" w14:textId="77777777" w:rsidR="0000205E" w:rsidRDefault="004348F6" w:rsidP="005D529F">
      <w:pPr>
        <w:rPr>
          <w:rFonts w:cs="Times New Roman"/>
        </w:rPr>
      </w:pPr>
      <w:r w:rsidRPr="005D529F">
        <w:rPr>
          <w:rFonts w:cs="Times New Roman"/>
        </w:rPr>
        <w:t xml:space="preserve">Comencemos, pues, el análisis de la estructura afectiva que sustenta el bienestar emocional de los españoles, observando los datos del barómetro de opinión pública de diciembre de 2011, del Centro de Investigaciones Sociológicos (CIS). Después, utilizando la información de sendas oleadas de la Encuesta Social Europea, analizaremos la estructura afectiva de los españoles y europeos, en 2006 y 2012.  </w:t>
      </w:r>
    </w:p>
    <w:p w14:paraId="3BB3B3ED" w14:textId="77777777" w:rsidR="0000205E" w:rsidRDefault="0000205E" w:rsidP="005D529F">
      <w:pPr>
        <w:rPr>
          <w:rFonts w:cs="Times New Roman"/>
        </w:rPr>
      </w:pPr>
    </w:p>
    <w:p w14:paraId="1019AB0F" w14:textId="77777777" w:rsidR="00097B2F" w:rsidRDefault="00097B2F" w:rsidP="00097B2F">
      <w:pPr>
        <w:spacing w:line="360" w:lineRule="auto"/>
        <w:rPr>
          <w:rFonts w:ascii="Times New Roman" w:hAnsi="Times New Roman" w:cs="Times New Roman"/>
        </w:rPr>
      </w:pPr>
      <w:r>
        <w:rPr>
          <w:noProof/>
          <w:lang w:val="es-ES"/>
        </w:rPr>
        <w:drawing>
          <wp:anchor distT="0" distB="0" distL="114300" distR="114300" simplePos="0" relativeHeight="251720704" behindDoc="0" locked="0" layoutInCell="1" allowOverlap="1" wp14:anchorId="31D11DBA" wp14:editId="0D7CC9B8">
            <wp:simplePos x="0" y="0"/>
            <wp:positionH relativeFrom="column">
              <wp:posOffset>228600</wp:posOffset>
            </wp:positionH>
            <wp:positionV relativeFrom="paragraph">
              <wp:posOffset>50800</wp:posOffset>
            </wp:positionV>
            <wp:extent cx="4655820" cy="262191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3.2.pdf"/>
                    <pic:cNvPicPr/>
                  </pic:nvPicPr>
                  <pic:blipFill rotWithShape="1">
                    <a:blip r:embed="rId18">
                      <a:extLst>
                        <a:ext uri="{28A0092B-C50C-407E-A947-70E740481C1C}">
                          <a14:useLocalDpi xmlns:a14="http://schemas.microsoft.com/office/drawing/2010/main" val="0"/>
                        </a:ext>
                      </a:extLst>
                    </a:blip>
                    <a:srcRect l="13341" t="6128" r="16427" b="65923"/>
                    <a:stretch/>
                  </pic:blipFill>
                  <pic:spPr bwMode="auto">
                    <a:xfrm>
                      <a:off x="0" y="0"/>
                      <a:ext cx="4655820" cy="26219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3C41705" w14:textId="77777777" w:rsidR="00097B2F" w:rsidRDefault="00097B2F" w:rsidP="00097B2F">
      <w:pPr>
        <w:spacing w:line="360" w:lineRule="auto"/>
        <w:rPr>
          <w:rFonts w:ascii="Times New Roman" w:hAnsi="Times New Roman" w:cs="Times New Roman"/>
        </w:rPr>
      </w:pPr>
    </w:p>
    <w:p w14:paraId="54B3F9F9" w14:textId="77777777" w:rsidR="00097B2F" w:rsidRDefault="00097B2F" w:rsidP="00097B2F">
      <w:pPr>
        <w:spacing w:line="360" w:lineRule="auto"/>
        <w:rPr>
          <w:rFonts w:ascii="Times New Roman" w:hAnsi="Times New Roman" w:cs="Times New Roman"/>
        </w:rPr>
      </w:pPr>
    </w:p>
    <w:p w14:paraId="1789B986" w14:textId="77777777" w:rsidR="00097B2F" w:rsidRDefault="00097B2F" w:rsidP="00097B2F">
      <w:pPr>
        <w:spacing w:line="360" w:lineRule="auto"/>
        <w:rPr>
          <w:rFonts w:ascii="Times New Roman" w:hAnsi="Times New Roman" w:cs="Times New Roman"/>
        </w:rPr>
      </w:pPr>
    </w:p>
    <w:p w14:paraId="199F0B05" w14:textId="77777777" w:rsidR="00097B2F" w:rsidRDefault="00097B2F" w:rsidP="00097B2F">
      <w:pPr>
        <w:spacing w:line="360" w:lineRule="auto"/>
        <w:rPr>
          <w:rFonts w:ascii="Times New Roman" w:hAnsi="Times New Roman" w:cs="Times New Roman"/>
        </w:rPr>
      </w:pPr>
    </w:p>
    <w:p w14:paraId="05768148" w14:textId="77777777" w:rsidR="00097B2F" w:rsidRDefault="00097B2F" w:rsidP="00097B2F">
      <w:pPr>
        <w:spacing w:line="360" w:lineRule="auto"/>
        <w:rPr>
          <w:rFonts w:ascii="Times New Roman" w:hAnsi="Times New Roman" w:cs="Times New Roman"/>
        </w:rPr>
      </w:pPr>
    </w:p>
    <w:p w14:paraId="2E4A5F0E" w14:textId="77777777" w:rsidR="00097B2F" w:rsidRDefault="00097B2F" w:rsidP="00097B2F">
      <w:pPr>
        <w:spacing w:line="360" w:lineRule="auto"/>
        <w:rPr>
          <w:rFonts w:ascii="Times New Roman" w:hAnsi="Times New Roman" w:cs="Times New Roman"/>
        </w:rPr>
      </w:pPr>
    </w:p>
    <w:p w14:paraId="399A15D0" w14:textId="77777777" w:rsidR="0000205E" w:rsidRDefault="0000205E" w:rsidP="005D529F">
      <w:pPr>
        <w:rPr>
          <w:rFonts w:cs="Times New Roman"/>
        </w:rPr>
      </w:pPr>
    </w:p>
    <w:p w14:paraId="25BE9859" w14:textId="77777777" w:rsidR="0000205E" w:rsidRDefault="004348F6" w:rsidP="005D529F">
      <w:pPr>
        <w:rPr>
          <w:rFonts w:cs="Times New Roman"/>
        </w:rPr>
      </w:pPr>
      <w:r w:rsidRPr="005D529F">
        <w:rPr>
          <w:rFonts w:cs="Times New Roman"/>
        </w:rPr>
        <w:lastRenderedPageBreak/>
        <w:t>La primera impresión general que puede extraerse de la Tabla 3.2. es que el porcentaje de españoles que se consideran realmente felices está en torno al 15%. Si bien comprobamos que hay un sentimiento generalizado de estar al menos bastante satisfecho con la vida, estado emocional compartido por tres de cada cuatro españoles (72,3%), los porcentajes de quienes están muy satisfechos (15,8%), disfrutando mucho (11,0%), y rebosantes de energía y vitalidad (17,1%), muestran que el estado emocional de una felicidad sin sombra de resignación, ni parcialmente oscurecida por algún motivo, es un estado socialmente minoritario. En este momento, es interesante subrayar el matiz que distingue entre estar meramente satisfecho o disfrutando de la vida. Hemos visto ya que el 72,3% de la población española está bastante satisfecha, pero solamente el 58,8% disfruta mucho de la vida. Dicho de otra manera, uno de cada cuatro españoles parece que disfruta más bien poco o nada. En el polo opuesto, en el extremo de la insatisfacción y de la infelicidad, están las personas que sistemáticamente contestan “nada” a las preguntas formuladas. No están nada satisfechos (4,0%); no disfrutan nada (5,2%); carecen de energía y vitalidad (4,2%); están muy deprimidas (2,9%); se sienten muy solos (2,4%); y apenas retienen un poco o absolutamente nada de orgullo (9,4%). Es importante reparar en la distribución social del orgullo, pues demuestra que el sentirse orgulloso de sí mismo constituye el último reducto liberador de la infelicidad. Cuando el yo se desvanece o se desintegra la persona pierde toda autoestima y, con ella, toda esperanza.</w:t>
      </w:r>
    </w:p>
    <w:p w14:paraId="134D02EF" w14:textId="77777777" w:rsidR="0000205E" w:rsidRDefault="004348F6" w:rsidP="005D529F">
      <w:pPr>
        <w:rPr>
          <w:rFonts w:cs="Times New Roman"/>
        </w:rPr>
      </w:pPr>
      <w:r w:rsidRPr="005D529F">
        <w:rPr>
          <w:rFonts w:cs="Times New Roman"/>
        </w:rPr>
        <w:t>Los datos de la Tabla 3.2 también indican que más de un tercio de la población española está muy o bastante estresada por las muchas cosas que tiene que hacer, mostrando la extensión del estrés en nuestra sociedad. Los datos parecen corroborar la tesis del libro La sociedad del cansancio, en la que el Byung-Chul Han (2012) reflexiona sobre el exceso de positividad y de actividad como rasgo endémico de nuestras sociedades. También justificarían y darían sentido a movimientos sociales como el slow movement, que platea un reducción generalizada de los ritmos a los que normalmente realizamos todas nuestras actividades. Por otro lado, como habíamos anunciado, el hecho de que una gran parte de la población española esté bastante satisfecha, no significa que las preocupaciones estén ausentes de su vida. Cuatro de cada diez españoles (36,7%) están muy preocupados, y cinco de cada diez están bastante preocupados (48,1%). El hecho de que la preocupación esté tan extendida quizás pueda atribuirse a las consecuencias sociales derivadas de la crisis económica, aunque es preciso subrayar que la preocupación, en tanto sentimiento de baja intensidad que pertenece a la familia emocional del miedo, forma parte esencial del estado de alerta imprescindible en la vida cotidiana.</w:t>
      </w:r>
    </w:p>
    <w:p w14:paraId="2EC54735" w14:textId="77777777" w:rsidR="0000205E" w:rsidRDefault="004348F6" w:rsidP="005D529F">
      <w:pPr>
        <w:rPr>
          <w:rFonts w:cs="Times New Roman"/>
        </w:rPr>
      </w:pPr>
      <w:r w:rsidRPr="005D529F">
        <w:rPr>
          <w:rFonts w:cs="Times New Roman"/>
        </w:rPr>
        <w:t xml:space="preserve">La encuesta del CIS también muestra que uno de cada diez españoles se siente bastante o muy solo. La valoración de este dato implica considerar, en primer término, que la información aportada no se refiere a “estar solo”, es decir, a la falta objetiva de relaciones o contactos sociales con familiares, amigos o compañeros de trabajo, sino a la soledad subjetiva, es decir, al sentimiento de soledad que incluso puede experimentarse estando rodeado de gente. En segundo término, ha de tenerse en cuenta que declarar </w:t>
      </w:r>
      <w:r w:rsidRPr="005D529F">
        <w:rPr>
          <w:rFonts w:cs="Times New Roman"/>
        </w:rPr>
        <w:lastRenderedPageBreak/>
        <w:t>públicamente que uno está o se siente solo, al no ser socialmente deseable, produce cierta vergüenza. Es decir, que a buen seguro esta medida infraestima la soledad realmente existente en España. En cualquier caso, considerando las graves consecuencias vitales que tienen tanto la soledad objetiva como la subjetiva, el hecho de que al menos un 10% de los españoles se sientan realmente solos no es en absoluto despreciable. Por otra parte, tampoco es nada despreciable el número de españoles que declara públicamente estar bastante (12,8%) o muy (2,9%) deprimido y sin ganas de hacer nada. El gran incremento experimentado en los últimos años en el consumo de fármacos antidepresivos, también llamados “píldoras de la felicidad”, bien sea el tradicional Prozac (fluoxetina), bien sea el más reciente bupropion, prescritos y utilizados masivamente ante la aparición de síntomas depresivos tanto graves como leves, pondría de manifiesto que los estados depresivos y de tristeza conforman una verdadera epidemia emocional de las sociedades avanzas. Solamente la mitad de la población española parece estar completamente libre de síntomas depresivos o de la desgana existencial. Por último, si para Randall Collins (2004) el contento, la alegría y la felicidad están asociados con un determinado nivel de energía emocional, es obvio que, a la inversa, la infelicidad está asociada con un bajo o muy bajo nivel de energía. En la Tabla 3.2 puede comprobarse que, en efecto, la estructura de afectividad de uno de cada tres españoles está caracterizada por un bajo o muy bajo nivel de vitalidad.</w:t>
      </w:r>
    </w:p>
    <w:p w14:paraId="5CCE2262" w14:textId="77777777" w:rsidR="0000205E" w:rsidRDefault="004348F6" w:rsidP="005D529F">
      <w:pPr>
        <w:rPr>
          <w:rFonts w:cs="Times New Roman"/>
        </w:rPr>
      </w:pPr>
      <w:r w:rsidRPr="005D529F">
        <w:rPr>
          <w:rFonts w:cs="Times New Roman"/>
        </w:rPr>
        <w:t>Veamos ahora, en los cuatro epígrafes siguientes, los datos que sobre las cuatro dimensiones afectivas de la felicidad aporta la Encuesta Social Europea. Estas nuevas informaciones nos permitirán corroborar o no (triangulación metodológica), y distinguir o matizar (precisión semántica), el panorama del bienestar emocional descrito hasta ahora. Para ello utilizaremos tres ejes de comparación: a) entre la encuesta CIS-2011 y la encuesta ESS-2012; b) entre la ESS-2006 y la ESS-2012; y c) entre la muestra española de ESS de 2006 y 2012 y la muestra europea. En algunos casos, también se aportan datos de la Encuesta Europea de Calidad de Vida (EQLS) de 2011.</w:t>
      </w:r>
    </w:p>
    <w:p w14:paraId="78BCF14F" w14:textId="77777777" w:rsidR="0000205E" w:rsidRDefault="004348F6" w:rsidP="00626F34">
      <w:pPr>
        <w:pStyle w:val="Ttulo2"/>
      </w:pPr>
      <w:bookmarkStart w:id="53" w:name="_Toc311991796"/>
      <w:bookmarkStart w:id="54" w:name="_Toc311993025"/>
      <w:r w:rsidRPr="005D529F">
        <w:t>3.2</w:t>
      </w:r>
      <w:r w:rsidR="00827F51" w:rsidRPr="005D529F">
        <w:t xml:space="preserve"> </w:t>
      </w:r>
      <w:r w:rsidRPr="005D529F">
        <w:t xml:space="preserve"> F</w:t>
      </w:r>
      <w:r w:rsidR="006D7447" w:rsidRPr="005D529F">
        <w:t xml:space="preserve">elicidad, disfrute de la vida, </w:t>
      </w:r>
      <w:r w:rsidRPr="005D529F">
        <w:t>energía vital</w:t>
      </w:r>
      <w:bookmarkEnd w:id="53"/>
      <w:bookmarkEnd w:id="54"/>
    </w:p>
    <w:p w14:paraId="3CBDE0FA" w14:textId="77777777" w:rsidR="0000205E" w:rsidRDefault="004348F6" w:rsidP="005D529F">
      <w:pPr>
        <w:rPr>
          <w:rFonts w:cs="Times New Roman"/>
        </w:rPr>
      </w:pPr>
      <w:r w:rsidRPr="005D529F">
        <w:rPr>
          <w:rFonts w:cs="Times New Roman"/>
        </w:rPr>
        <w:t>Los datos de felicidad y disfrute de la vida incluidos de la Tabla 3.3 corroboran la estructura emocional comentada anteriormente. La proporción de españoles que sienten que disfrutan de la vida “buena parte del tiempo” o “todo o casi todo el tiempo” asciende al 58,9%, exactamente el mismo porcentaje que en la encuesta del CIS declaraba disfrutar muy o bastante. En suma, en 2012, seis de cada diez españoles disfrutaron de la vida la mayor parte del tiempo; tres de cada diez disfrutaron solo a veces; y uno de cada diez no disfrutó nunca.</w:t>
      </w:r>
    </w:p>
    <w:p w14:paraId="708ED9EC" w14:textId="77777777" w:rsidR="0000205E" w:rsidRDefault="004348F6" w:rsidP="005D529F">
      <w:pPr>
        <w:rPr>
          <w:rFonts w:cs="Times New Roman"/>
        </w:rPr>
      </w:pPr>
      <w:r w:rsidRPr="005D529F">
        <w:rPr>
          <w:rFonts w:cs="Times New Roman"/>
        </w:rPr>
        <w:t xml:space="preserve">El hecho de que la encuesta CIS preguntara por la satisfacción, y la ESS sobre la felicidad, explicaría la ligera discrepancia entre los resultados. La satisfacción con la vida alcanzaba al 72,3% en la encuesta del CIS, mientras que el haberse sentido feliz la mayor parte del </w:t>
      </w:r>
      <w:r w:rsidRPr="005D529F">
        <w:rPr>
          <w:rFonts w:cs="Times New Roman"/>
        </w:rPr>
        <w:lastRenderedPageBreak/>
        <w:t>tiempo, durante la última semana, alcanza en 2012 al 68,7% de los españoles, esto es, una cifra que concuerda bastante con aquélla. De la misma forma, ambas encuestas también coinciden en señalar que un 5,0% de españoles no se ha sentido feliz en ningún momento o casi en ningún momento.</w:t>
      </w:r>
    </w:p>
    <w:p w14:paraId="334B23BA" w14:textId="77777777" w:rsidR="0000205E" w:rsidRDefault="0000205E" w:rsidP="005D529F">
      <w:pPr>
        <w:rPr>
          <w:rFonts w:cs="Times New Roman"/>
        </w:rPr>
      </w:pPr>
    </w:p>
    <w:p w14:paraId="754C9AEE" w14:textId="77777777" w:rsidR="00097B2F" w:rsidRDefault="00097B2F" w:rsidP="00097B2F">
      <w:pPr>
        <w:spacing w:line="360" w:lineRule="auto"/>
        <w:rPr>
          <w:rFonts w:ascii="Times New Roman" w:hAnsi="Times New Roman" w:cs="Times New Roman"/>
        </w:rPr>
      </w:pPr>
      <w:r>
        <w:rPr>
          <w:noProof/>
          <w:lang w:val="es-ES"/>
        </w:rPr>
        <w:drawing>
          <wp:anchor distT="0" distB="0" distL="114300" distR="114300" simplePos="0" relativeHeight="251722752" behindDoc="0" locked="0" layoutInCell="1" allowOverlap="1" wp14:anchorId="6F88B561" wp14:editId="23F78FF4">
            <wp:simplePos x="0" y="0"/>
            <wp:positionH relativeFrom="column">
              <wp:posOffset>342900</wp:posOffset>
            </wp:positionH>
            <wp:positionV relativeFrom="paragraph">
              <wp:posOffset>139700</wp:posOffset>
            </wp:positionV>
            <wp:extent cx="4594860" cy="25146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3.3.pdf"/>
                    <pic:cNvPicPr/>
                  </pic:nvPicPr>
                  <pic:blipFill rotWithShape="1">
                    <a:blip r:embed="rId19">
                      <a:extLst>
                        <a:ext uri="{28A0092B-C50C-407E-A947-70E740481C1C}">
                          <a14:useLocalDpi xmlns:a14="http://schemas.microsoft.com/office/drawing/2010/main" val="0"/>
                        </a:ext>
                      </a:extLst>
                    </a:blip>
                    <a:srcRect l="13345" t="7542" r="14467" b="64542"/>
                    <a:stretch/>
                  </pic:blipFill>
                  <pic:spPr bwMode="auto">
                    <a:xfrm>
                      <a:off x="0" y="0"/>
                      <a:ext cx="4594860" cy="25146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6E0A030" w14:textId="77777777" w:rsidR="00097B2F" w:rsidRDefault="00097B2F" w:rsidP="00097B2F">
      <w:pPr>
        <w:spacing w:line="360" w:lineRule="auto"/>
        <w:rPr>
          <w:rFonts w:ascii="Times New Roman" w:hAnsi="Times New Roman" w:cs="Times New Roman"/>
        </w:rPr>
      </w:pPr>
    </w:p>
    <w:p w14:paraId="426E1180" w14:textId="77777777" w:rsidR="00097B2F" w:rsidRDefault="00097B2F" w:rsidP="00097B2F">
      <w:pPr>
        <w:spacing w:line="360" w:lineRule="auto"/>
        <w:rPr>
          <w:rFonts w:ascii="Times New Roman" w:hAnsi="Times New Roman" w:cs="Times New Roman"/>
        </w:rPr>
      </w:pPr>
    </w:p>
    <w:p w14:paraId="13A240F5" w14:textId="77777777" w:rsidR="00097B2F" w:rsidRDefault="00097B2F" w:rsidP="00097B2F">
      <w:pPr>
        <w:spacing w:line="360" w:lineRule="auto"/>
        <w:rPr>
          <w:rFonts w:ascii="Times New Roman" w:hAnsi="Times New Roman" w:cs="Times New Roman"/>
        </w:rPr>
      </w:pPr>
    </w:p>
    <w:p w14:paraId="52A2A83B" w14:textId="77777777" w:rsidR="00097B2F" w:rsidRDefault="00097B2F" w:rsidP="00097B2F">
      <w:pPr>
        <w:spacing w:line="360" w:lineRule="auto"/>
        <w:rPr>
          <w:rFonts w:ascii="Times New Roman" w:hAnsi="Times New Roman" w:cs="Times New Roman"/>
        </w:rPr>
      </w:pPr>
    </w:p>
    <w:p w14:paraId="451CC63C" w14:textId="77777777" w:rsidR="00097B2F" w:rsidRDefault="00097B2F" w:rsidP="00097B2F">
      <w:pPr>
        <w:spacing w:line="360" w:lineRule="auto"/>
        <w:rPr>
          <w:rFonts w:ascii="Times New Roman" w:hAnsi="Times New Roman" w:cs="Times New Roman"/>
        </w:rPr>
      </w:pPr>
    </w:p>
    <w:p w14:paraId="7BEDCDBA" w14:textId="77777777" w:rsidR="00097B2F" w:rsidRDefault="00097B2F" w:rsidP="00097B2F">
      <w:pPr>
        <w:spacing w:line="360" w:lineRule="auto"/>
        <w:rPr>
          <w:rFonts w:ascii="Times New Roman" w:hAnsi="Times New Roman" w:cs="Times New Roman"/>
        </w:rPr>
      </w:pPr>
    </w:p>
    <w:p w14:paraId="6CFA41EB" w14:textId="77777777" w:rsidR="00097B2F" w:rsidRDefault="00097B2F" w:rsidP="00097B2F">
      <w:pPr>
        <w:spacing w:line="360" w:lineRule="auto"/>
        <w:rPr>
          <w:rFonts w:ascii="Times New Roman" w:hAnsi="Times New Roman" w:cs="Times New Roman"/>
        </w:rPr>
      </w:pPr>
    </w:p>
    <w:p w14:paraId="3AD04F83" w14:textId="77777777" w:rsidR="004348F6" w:rsidRPr="005D529F" w:rsidRDefault="004348F6" w:rsidP="005D529F">
      <w:pPr>
        <w:rPr>
          <w:rFonts w:cs="Times New Roman"/>
        </w:rPr>
      </w:pPr>
    </w:p>
    <w:p w14:paraId="64C9A254" w14:textId="77777777" w:rsidR="0000205E" w:rsidRDefault="004348F6" w:rsidP="005D529F">
      <w:pPr>
        <w:rPr>
          <w:rFonts w:cs="Times New Roman"/>
        </w:rPr>
      </w:pPr>
      <w:r w:rsidRPr="005D529F">
        <w:rPr>
          <w:rFonts w:cs="Times New Roman"/>
        </w:rPr>
        <w:t>Sin embargo, respecto a la energía y vitalidad de los españoles los datos de ambas encuestas son bastante incongruentes. Recurriendo a los resultados obtenidos en la Encuesta Europea de la Calidad de Vida de 2011 (EQLS-2011), así como la extrema diferencia existente entre la ESS de España y del conjunto de Europa, inferimos que debe existir algún error en los datos de la muestra española de la ESS, tanto en 2006 como en 2012. Así, llegamos a la conclusión de que dos tercios de la población española se sienten con mucha o bastante energía, y un tercio, exactamente el 34,8% según el CIS, declaran tener poca o ninguna vitalidad. En la EQLS de 2011 se preguntó a los entrevistados si se sentían “activos y vigorosos”, y las respuestas fueron las siguientes: Todo el tiempo (12,5%); Casi siempre (40,6%); Más de la mitad (24,2%); Menos de la mitad (11,2%); A veces (9,3%); y Nunca (2,1%). Según estos datos, tres de cada cuatro españoles se sienten activos y vigorosos, mientras que uno de cada cuatro muestran carencias energía emocional. El porcentaje de personas que se sienten activas y vigorosas en el conjunto de los 28 países que forman la Unión Europea (71,8%) es sensiblemente inferior al porcentaje en España (77,4%). La diferencia porcentual existente entre España y Europa en la ESS es demasiado abultada, indicando que quizás los términos utilizados en el cuestionario español no sean semánticamente equivalentes a los utilizados en Europa.</w:t>
      </w:r>
    </w:p>
    <w:p w14:paraId="17161468" w14:textId="77777777" w:rsidR="0000205E" w:rsidRDefault="004348F6" w:rsidP="005D529F">
      <w:pPr>
        <w:rPr>
          <w:rFonts w:cs="Times New Roman"/>
        </w:rPr>
      </w:pPr>
      <w:r w:rsidRPr="005D529F">
        <w:rPr>
          <w:rFonts w:cs="Times New Roman"/>
        </w:rPr>
        <w:t xml:space="preserve">Al comparar los datos de los dos años incluidos en la tabla, 2006 y 2012, no cabe la menor duda de que la valoración emocional que hacen los españoles de su situación experimenta un importante deterioro. El porcentaje de quienes se sienten felices todo, casi todo o buena parte del tiempo desciende desde 74,8% en 2006, a 68,7% en 2012. </w:t>
      </w:r>
      <w:r w:rsidRPr="005D529F">
        <w:rPr>
          <w:rFonts w:cs="Times New Roman"/>
        </w:rPr>
        <w:lastRenderedPageBreak/>
        <w:t>Asimismo, el porcentaje de quienes disfrutan de la vida baja desde el 66,0% al 58,9%. Y el de quienes están rebosantes de energía desciende del 38,2% al 34,9%. Una vez analizadas todas estas informaciones, y teniendo en cuenta la estabilidad propia que muestran habitualmente los estados emocionales privados o de carácter personal, debemos concluir afirmando que la estructura afectiva de los españoles entre 2006 y 2012, en cuanto a felicidad y disfrute se refiere, experimenta un menoscabo importante y radical.</w:t>
      </w:r>
    </w:p>
    <w:p w14:paraId="009D6B08" w14:textId="77777777" w:rsidR="0000205E" w:rsidRDefault="004348F6" w:rsidP="005D529F">
      <w:pPr>
        <w:rPr>
          <w:rFonts w:cs="Times New Roman"/>
        </w:rPr>
      </w:pPr>
      <w:r w:rsidRPr="005D529F">
        <w:rPr>
          <w:rFonts w:cs="Times New Roman"/>
        </w:rPr>
        <w:t>Por último, la comparación entre los estados emocionales de españoles y europeos muestra un panorama algo diferente, y más completo, al observado utilizando las escalas de felicidad y satisfacción. En el año 2006, cuando el país se encontraba en pleno boom económico, el número de españoles que declaraba estar feliz buena parte o todo el tiempo (74,8%), era bastante superior al de europeos (69,8%). Sin embargo, en 2012, una vez que el país está sufriendo el azote de una profunda crisis económica, el porcentaje de españoles felices (68,7%) es sensiblemente inferior al de europeos (73,0%). En cuanto a la sensación de disfrutar de la vida, cualquier persona que haya vivido en España en ambos períodos, esto es, en el de crecimiento y en el de crisis, podrá comprender que la diferencia en 2012 entre el porcentaje de españoles (58,9%) y europeos (71,2%) que disfrutan de la vida sea todavía mayor.</w:t>
      </w:r>
    </w:p>
    <w:p w14:paraId="07C75392" w14:textId="77777777" w:rsidR="0000205E" w:rsidRDefault="004348F6" w:rsidP="00915566">
      <w:pPr>
        <w:pStyle w:val="Ttulo2"/>
      </w:pPr>
      <w:bookmarkStart w:id="55" w:name="_Toc311991797"/>
      <w:bookmarkStart w:id="56" w:name="_Toc311993026"/>
      <w:r w:rsidRPr="005D529F">
        <w:t>3.3</w:t>
      </w:r>
      <w:r w:rsidR="00827F51" w:rsidRPr="005D529F">
        <w:t xml:space="preserve"> </w:t>
      </w:r>
      <w:r w:rsidRPr="005D529F">
        <w:t xml:space="preserve"> Tri</w:t>
      </w:r>
      <w:r w:rsidR="006D7447" w:rsidRPr="005D529F">
        <w:t xml:space="preserve">steza, depresión, aburrimiento, </w:t>
      </w:r>
      <w:r w:rsidRPr="005D529F">
        <w:t>soledad.</w:t>
      </w:r>
      <w:bookmarkEnd w:id="55"/>
      <w:bookmarkEnd w:id="56"/>
    </w:p>
    <w:p w14:paraId="4B84C0A2" w14:textId="77777777" w:rsidR="0000205E" w:rsidRDefault="004348F6" w:rsidP="005D529F">
      <w:pPr>
        <w:rPr>
          <w:rFonts w:cs="Times New Roman"/>
        </w:rPr>
      </w:pPr>
      <w:r w:rsidRPr="005D529F">
        <w:rPr>
          <w:rFonts w:cs="Times New Roman"/>
        </w:rPr>
        <w:t>La estructura afectiva de la tristeza, la depresión y la soledad que perfilan las tres encuestas que estamos considerando (CIS, EESS y EQLS) es muy congruente. En 2012, en torno a uno de cada diez españoles se sientió bastante o muy triste, deprimido y solo. Dada la relevancia que tienen los estados emocionales de tristeza, soledad y depresión a la hora de condicionar el grado de felicidad de una persona, la congruencia de estos datos muestra la validez y fiabilidad que tienen, en general, las preguntas sobre estados emocionales. Muchos críticos afirman que las respuestas de los entrevistados son bastante arbitrarias pero, si esto fuera así, sería imposible que los resultados de tres encuestas diferentes coincidieran. Si bien es cierto que en la encuesta CIS el porcentaje de deprimidos se eleva al 15,5%, ha de tenerse en cuenta que su pregunta alude a dos estados diferentes, estar “deprimido” o estar “sin ganas de hacer nada”, ofreciendo al entrevistado un campo semántico más amplio. En el caso de la encuesta EQLS el porcentaje se eleva al 12,6, pero también aquí nos encontramos una ampliación de este campo, pues su pregunta incluye estar “deprimido” o estar “desanimado”.</w:t>
      </w:r>
    </w:p>
    <w:p w14:paraId="0A9922D5" w14:textId="77777777" w:rsidR="0000205E" w:rsidRDefault="004348F6" w:rsidP="005D529F">
      <w:pPr>
        <w:rPr>
          <w:rFonts w:cs="Times New Roman"/>
        </w:rPr>
      </w:pPr>
      <w:r w:rsidRPr="005D529F">
        <w:rPr>
          <w:rFonts w:cs="Times New Roman"/>
        </w:rPr>
        <w:t>En conclusión, en el año 2012, uno de cada diez españoles estuvo deprimido la mayor parte del tiempo, casi siempre o siempre (10,5%); uno de cada diez triste (10,9%); y casi uno de cada diez se sintió solo (8,5%). Por otra parte, el 47,8% experimentó en algún momento tristeza; el 35,6% experimentó a veces sentimientos de depresión; y el 23,4% sintió en algún momento soledad.</w:t>
      </w:r>
    </w:p>
    <w:p w14:paraId="5DF64D53" w14:textId="77777777" w:rsidR="00915566" w:rsidRDefault="00915566" w:rsidP="00915566">
      <w:pPr>
        <w:rPr>
          <w:rFonts w:ascii="Times New Roman" w:hAnsi="Times New Roman" w:cs="Times New Roman"/>
        </w:rPr>
      </w:pPr>
    </w:p>
    <w:p w14:paraId="4D014B88" w14:textId="77777777" w:rsidR="00915566" w:rsidRDefault="00915566" w:rsidP="00915566">
      <w:pPr>
        <w:rPr>
          <w:rFonts w:ascii="Times New Roman" w:hAnsi="Times New Roman" w:cs="Times New Roman"/>
        </w:rPr>
      </w:pPr>
      <w:r>
        <w:rPr>
          <w:noProof/>
          <w:lang w:val="es-ES"/>
        </w:rPr>
        <w:drawing>
          <wp:anchor distT="0" distB="0" distL="114300" distR="114300" simplePos="0" relativeHeight="251724800" behindDoc="0" locked="0" layoutInCell="1" allowOverlap="1" wp14:anchorId="08CA5B30" wp14:editId="1956A993">
            <wp:simplePos x="0" y="0"/>
            <wp:positionH relativeFrom="column">
              <wp:posOffset>342900</wp:posOffset>
            </wp:positionH>
            <wp:positionV relativeFrom="paragraph">
              <wp:posOffset>0</wp:posOffset>
            </wp:positionV>
            <wp:extent cx="4170045" cy="274320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3.4.pdf"/>
                    <pic:cNvPicPr/>
                  </pic:nvPicPr>
                  <pic:blipFill rotWithShape="1">
                    <a:blip r:embed="rId20">
                      <a:extLst>
                        <a:ext uri="{28A0092B-C50C-407E-A947-70E740481C1C}">
                          <a14:useLocalDpi xmlns:a14="http://schemas.microsoft.com/office/drawing/2010/main" val="0"/>
                        </a:ext>
                      </a:extLst>
                    </a:blip>
                    <a:srcRect l="13348" t="7711" r="22341" b="62393"/>
                    <a:stretch/>
                  </pic:blipFill>
                  <pic:spPr bwMode="auto">
                    <a:xfrm>
                      <a:off x="0" y="0"/>
                      <a:ext cx="4170045" cy="27432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5BB8D34" w14:textId="77777777" w:rsidR="00915566" w:rsidRDefault="00915566" w:rsidP="00915566">
      <w:pPr>
        <w:rPr>
          <w:rFonts w:ascii="Times New Roman" w:hAnsi="Times New Roman" w:cs="Times New Roman"/>
        </w:rPr>
      </w:pPr>
    </w:p>
    <w:p w14:paraId="4724D3D7" w14:textId="77777777" w:rsidR="00915566" w:rsidRDefault="00915566" w:rsidP="00915566">
      <w:pPr>
        <w:rPr>
          <w:rFonts w:ascii="Times New Roman" w:hAnsi="Times New Roman" w:cs="Times New Roman"/>
        </w:rPr>
      </w:pPr>
    </w:p>
    <w:p w14:paraId="6ADFB1AD" w14:textId="77777777" w:rsidR="00915566" w:rsidRDefault="00915566" w:rsidP="00915566">
      <w:pPr>
        <w:rPr>
          <w:rFonts w:ascii="Times New Roman" w:hAnsi="Times New Roman" w:cs="Times New Roman"/>
        </w:rPr>
      </w:pPr>
    </w:p>
    <w:p w14:paraId="22B01A22" w14:textId="77777777" w:rsidR="00915566" w:rsidRDefault="00915566" w:rsidP="00915566">
      <w:pPr>
        <w:rPr>
          <w:rFonts w:ascii="Times New Roman" w:hAnsi="Times New Roman" w:cs="Times New Roman"/>
        </w:rPr>
      </w:pPr>
    </w:p>
    <w:p w14:paraId="58E74D90" w14:textId="77777777" w:rsidR="00915566" w:rsidRDefault="00915566" w:rsidP="00915566">
      <w:pPr>
        <w:rPr>
          <w:rFonts w:ascii="Times New Roman" w:hAnsi="Times New Roman" w:cs="Times New Roman"/>
        </w:rPr>
      </w:pPr>
    </w:p>
    <w:p w14:paraId="3C976488" w14:textId="77777777" w:rsidR="00915566" w:rsidRDefault="00915566" w:rsidP="00915566">
      <w:pPr>
        <w:rPr>
          <w:rFonts w:ascii="Times New Roman" w:hAnsi="Times New Roman" w:cs="Times New Roman"/>
        </w:rPr>
      </w:pPr>
    </w:p>
    <w:p w14:paraId="16F8795E" w14:textId="77777777" w:rsidR="00915566" w:rsidRDefault="00915566" w:rsidP="00915566">
      <w:pPr>
        <w:rPr>
          <w:rFonts w:ascii="Times New Roman" w:hAnsi="Times New Roman" w:cs="Times New Roman"/>
        </w:rPr>
      </w:pPr>
    </w:p>
    <w:p w14:paraId="5554DB52" w14:textId="77777777" w:rsidR="00915566" w:rsidRDefault="00915566" w:rsidP="00915566">
      <w:pPr>
        <w:rPr>
          <w:rFonts w:ascii="Times New Roman" w:hAnsi="Times New Roman" w:cs="Times New Roman"/>
        </w:rPr>
      </w:pPr>
    </w:p>
    <w:p w14:paraId="7D85D1EF" w14:textId="77777777" w:rsidR="0000205E" w:rsidRDefault="0000205E" w:rsidP="005D529F">
      <w:pPr>
        <w:rPr>
          <w:rFonts w:cs="Times New Roman"/>
        </w:rPr>
      </w:pPr>
    </w:p>
    <w:p w14:paraId="0359026E" w14:textId="77777777" w:rsidR="0000205E" w:rsidRDefault="004348F6" w:rsidP="005D529F">
      <w:pPr>
        <w:rPr>
          <w:rFonts w:cs="Times New Roman"/>
        </w:rPr>
      </w:pPr>
      <w:r w:rsidRPr="005D529F">
        <w:rPr>
          <w:rFonts w:cs="Times New Roman"/>
        </w:rPr>
        <w:t>Todos los estados emocionales de la Tabla 3.4, incluido el aburrimiento y la falta de interés por las cosas de la vida, son sentimientos negativos sintomáticos del profundo malestar emocional que puede llegar a experimentar un ser humano. Una persona sumida en la tristeza, profundamente sola, completamente deprimida y absolutamente incapaz de sentir interés por las cosas de la vida, es una persona hundida, desolada y excluida de la felicidad, una persona que sufre, que ha perdido las ganas de vivir, que ni recibe ni valora las gratificaciones que pueden ofrecerle los demás, y que se siente sola aunque no lo esté. La tristeza, el centro de gravedad de toda esta gran familia emocional íntimamente vinculada al sufrimiento y al dolor humano, es considerada por todos los científicos sociales como una emoción básica o primaria. También se la considera una emoción universal, con similares pautas de expresión en muy diferentes culturas, con disposiciones fisiológicas innatas, y muy vinculada a procesos de adaptación y supervivencia del organismo. Por ello los bebés, ya en su primeros meses, son capaces de mostrar tristeza, miedo y rabia en la interacción social que mantienen con sus cuidadores (Kemper, 1987). Y por ello los sentimientos de tristeza, depresión, soledad y aburrimiento están tan determinados por el estado de nuestras relaciones sociales primarias. Turner, que otorga mucha importancia a la relación existente entre las expectativas y las experiencias reales del sujeto, utiliza la conjunción de dos términos para referirse a este estado emocional: “decepción-tristeza” (Turner, 1999:144). Una continuada exposición a la tristeza puede provocar sentimientos de depresión. No en vano Kemper utiliza también dos términos, “tristeza-depresión”, para designar el estado emocional vinculado con un estatus social insuficiente, esto es, con una falta de afecto, de cariño o de reconocimiento y valoración por parte de los demás.</w:t>
      </w:r>
    </w:p>
    <w:p w14:paraId="1D8FF090" w14:textId="77777777" w:rsidR="0000205E" w:rsidRDefault="004348F6" w:rsidP="005D529F">
      <w:pPr>
        <w:rPr>
          <w:rFonts w:cs="Times New Roman"/>
        </w:rPr>
      </w:pPr>
      <w:r w:rsidRPr="005D529F">
        <w:rPr>
          <w:rFonts w:cs="Times New Roman"/>
        </w:rPr>
        <w:t xml:space="preserve">El estado emocional del aburrimiento está conectado con la familia de la tristeza porque, pese a las apariencias, no es simplemente lo opuesto a la diversión, como tampoco podemos equiparar la diversión al disfrute o al goce, sentimientos hedonistas que tienen </w:t>
      </w:r>
      <w:r w:rsidRPr="005D529F">
        <w:rPr>
          <w:rFonts w:cs="Times New Roman"/>
        </w:rPr>
        <w:lastRenderedPageBreak/>
        <w:t>un contenido diferente al mero placer característico del entretenimiento. Por ello, Barbalet considera que el aburrimiento está vinculado a la falta de significado o de sentido de un objeto, persona, actividad o situación (Barbalet, 1999). Esto es, quienes se aburren son personas que no le encuentran sentido a sus vidas, o que consideran que sus acciones carecen de ningún propósito de valor o que merezca la pena. Por ello algunos autores han considerado que el aburrimiento, o falta de interés vital por las cosas, sería el estado emocional opuesto al entusiasmo (Lawler, 1996:94). Así, desde esta perspectiva debe valorarse, primero, la gravedad de que el 5,9% de los españoles declararan en 2006 que estaban la mayor parte del tiempo aburridos. Segundo, en cuanto a su extensión, comprobamos que el aburrimiento afecta, en un momento u otro, al 41,4% de la población española. Esto explicaría la enorme cantidad de actividades que nos ofrecen, y de esfuerzos que realizamos, cuya única y aparente finalidad es lograr que desaparezca del horizonte vital de nuestras vidas, aunque sea durante un breve lapso de tiempo, y aunque sea utilizando los medios más banales, esta fastidiosa sensación de aburrimiento. En la EQLS de 2011 se preguntó a los entrevistados con qué frecuencia sentían “mi vida diaria está llena de cosas que me interesan”. Pues bien, solamente un 53,3% de los españoles contestó que casi siempre o siempre; y un 23,5% que más de la mitad del tiempo. En suma, uno de cada cuatro españoles (23,2%) no muestra ningún interés por las cosas de la vida cotidiana.</w:t>
      </w:r>
    </w:p>
    <w:p w14:paraId="18F19FD3" w14:textId="77777777" w:rsidR="0000205E" w:rsidRDefault="004348F6" w:rsidP="005D529F">
      <w:pPr>
        <w:rPr>
          <w:rFonts w:cs="Times New Roman"/>
        </w:rPr>
      </w:pPr>
      <w:r w:rsidRPr="005D529F">
        <w:rPr>
          <w:rFonts w:cs="Times New Roman"/>
        </w:rPr>
        <w:t>Como puede comprobarse en la Tabla 3.4, al comparar los datos españoles de las dos oleadas de la Encuesta Social Europea, los porcentajes de personas que experimentan estados emocionales de tristeza, de depresión y de soledad en 2012 ha experimentado un significativo crecimiento con respecto a 2006, probando que la estructura afectiva  de los españoles se ha ensombrecido en el trascurso de estos últimos años. El porcentaje de tristeza se ha incrementado un 31,2%; el de depresión un 50%; y el de soledad un 18,0%. En la comparación espacial, los datos muestran que los porcentajes de tristeza, depresión y soledad en España son superiores a los de Europa-20.</w:t>
      </w:r>
    </w:p>
    <w:p w14:paraId="26878F23" w14:textId="77777777" w:rsidR="0000205E" w:rsidRDefault="004348F6" w:rsidP="00915566">
      <w:pPr>
        <w:pStyle w:val="Ttulo2"/>
      </w:pPr>
      <w:bookmarkStart w:id="57" w:name="_Toc311991798"/>
      <w:bookmarkStart w:id="58" w:name="_Toc311993027"/>
      <w:r w:rsidRPr="005D529F">
        <w:t xml:space="preserve">3.4 </w:t>
      </w:r>
      <w:r w:rsidR="00827F51" w:rsidRPr="005D529F">
        <w:t xml:space="preserve"> </w:t>
      </w:r>
      <w:r w:rsidRPr="005D529F">
        <w:t xml:space="preserve">Autoestima, </w:t>
      </w:r>
      <w:r w:rsidR="00A246A3" w:rsidRPr="005D529F">
        <w:t>optimismo, fracaso</w:t>
      </w:r>
      <w:bookmarkEnd w:id="57"/>
      <w:bookmarkEnd w:id="58"/>
    </w:p>
    <w:p w14:paraId="247E0CD3" w14:textId="77777777" w:rsidR="0000205E" w:rsidRDefault="004348F6" w:rsidP="005D529F">
      <w:pPr>
        <w:rPr>
          <w:rFonts w:cs="Times New Roman"/>
        </w:rPr>
      </w:pPr>
      <w:r w:rsidRPr="005D529F">
        <w:rPr>
          <w:rFonts w:cs="Times New Roman"/>
        </w:rPr>
        <w:t xml:space="preserve">Conocer la estructura afectiva que sustenta el bienestar emocional de un país, en nuestro caso España, implica también estar al corriente de las valoraciones que sobre sí mismos hagan sus habitantes. Más allá de cómo hayan valorado emocionalmente el contexto general de sus vidas (factor situación), o de cómo valoren emocionalmente el conjunto de sus interacciones sociales (factor estatus social), el grado en que se sientan orgullosos o avergonzados de sí mismos (factor persona) constituye un componente clave de su felicidad. En el panorama emocional vinculado al “yo”, distinguiremos tres componentes. El primero, la autoestima, es un componente puramente personal, e indica el grado en que los sujetos se valoran a sí mismos en tanto individualidad. El segundo, el optimismo, valora emocionalmente al yo desde una perspectiva biográfica, tomando en consideración tanto los resultados de la experiencia personal pasada (biografía), como </w:t>
      </w:r>
      <w:r w:rsidRPr="005D529F">
        <w:rPr>
          <w:rFonts w:cs="Times New Roman"/>
        </w:rPr>
        <w:lastRenderedPageBreak/>
        <w:t>los resultados esperados en el futuro (expectativas). El tercer componente, el fracaso, valora emocionalmente al yo incorporando la imagen que los demás proyectan sobre el sujeto, es decir, incorporando la valoración social de la persona. En la Tabla 3.5. se incluye la información necesaria para perfilar esta dimensión del bienestar emocional en la sociedad española.</w:t>
      </w:r>
    </w:p>
    <w:p w14:paraId="106AEE78" w14:textId="30F7E781" w:rsidR="00915566" w:rsidRPr="005D529F" w:rsidRDefault="00915566" w:rsidP="005D529F">
      <w:pPr>
        <w:rPr>
          <w:rFonts w:cs="Times New Roman"/>
        </w:rPr>
      </w:pPr>
      <w:r w:rsidRPr="005D529F">
        <w:rPr>
          <w:noProof/>
          <w:lang w:val="es-ES"/>
        </w:rPr>
        <w:drawing>
          <wp:anchor distT="0" distB="0" distL="114300" distR="114300" simplePos="0" relativeHeight="251666432" behindDoc="0" locked="0" layoutInCell="1" allowOverlap="1" wp14:anchorId="51728CA4" wp14:editId="00BEF4A2">
            <wp:simplePos x="0" y="0"/>
            <wp:positionH relativeFrom="column">
              <wp:posOffset>228600</wp:posOffset>
            </wp:positionH>
            <wp:positionV relativeFrom="paragraph">
              <wp:posOffset>279400</wp:posOffset>
            </wp:positionV>
            <wp:extent cx="4729480" cy="25146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3.5.pdf"/>
                    <pic:cNvPicPr/>
                  </pic:nvPicPr>
                  <pic:blipFill rotWithShape="1">
                    <a:blip r:embed="rId21">
                      <a:extLst>
                        <a:ext uri="{28A0092B-C50C-407E-A947-70E740481C1C}">
                          <a14:useLocalDpi xmlns:a14="http://schemas.microsoft.com/office/drawing/2010/main" val="0"/>
                        </a:ext>
                      </a:extLst>
                    </a:blip>
                    <a:srcRect l="13345" t="7542" r="11055" b="64055"/>
                    <a:stretch/>
                  </pic:blipFill>
                  <pic:spPr bwMode="auto">
                    <a:xfrm>
                      <a:off x="0" y="0"/>
                      <a:ext cx="4729480" cy="25146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17906E6" w14:textId="77777777" w:rsidR="004603E6" w:rsidRDefault="004603E6" w:rsidP="005D529F">
      <w:pPr>
        <w:rPr>
          <w:rFonts w:cs="Times New Roman"/>
        </w:rPr>
      </w:pPr>
    </w:p>
    <w:p w14:paraId="5B47595D" w14:textId="77777777" w:rsidR="0000205E" w:rsidRDefault="004348F6" w:rsidP="005D529F">
      <w:pPr>
        <w:rPr>
          <w:rFonts w:cs="Times New Roman"/>
        </w:rPr>
      </w:pPr>
      <w:r w:rsidRPr="005D529F">
        <w:rPr>
          <w:rFonts w:cs="Times New Roman"/>
        </w:rPr>
        <w:t xml:space="preserve">Los datos de autoestima que ofrece la ESS-2012 también coinciden con los datos de la encuesta CIS-2011. La idea general que se desprende de ellos es el alto grado de autoestima que mantienen los españoles, pues el 85,9% dice estar muy de acuerdo o de acuerdo con la afirmación “me siento bien conmigo mismo/a”. La autoestima constituye uno de los pilares esenciales de la felicidad, y explica en gran parte el hecho de que los seres humanos, incluso en las peores circunstancias, siempre que mantengan la integridad del yo, sean capaces de experimentar la felicidad. Ahora bien, a la inversa, el deterioro o la desintegración del yo tiene gravísimas consecuencias sobre la felicidad. Por este motivo, podemos estar completamente seguros que el 9,5% por ciento de españoles que declaran no sentirse a gusto consigo mismos estarán excluidos de la felicidad. En suma, en la encuesta CIS, un 9,4% afirmaba estar poco o nada “orgulloso de sí mismo”, y en la encuesta ESS-2012, distribuyendo en dos partes iguales los que se muestran indecisos, quienes no se sienten orgullosos suman, como ya hemos dicho, el 9,5% de la población española. </w:t>
      </w:r>
    </w:p>
    <w:p w14:paraId="2FD98A7C" w14:textId="77777777" w:rsidR="0000205E" w:rsidRDefault="004348F6" w:rsidP="005D529F">
      <w:pPr>
        <w:rPr>
          <w:rFonts w:cs="Times New Roman"/>
        </w:rPr>
      </w:pPr>
      <w:r w:rsidRPr="005D529F">
        <w:rPr>
          <w:rFonts w:cs="Times New Roman"/>
        </w:rPr>
        <w:t xml:space="preserve">A diferencia de la autoestima, que constituye una pura valoración del yo, en el optimismo, incluso cuando es considerado como un rasgo del carácter personal, también influyen las experiencias vividas y anticipadas por el sujeto. Esto explica que el número de optimistas existente en España (62,6%) sea inferior al de quienes sienten orgullosos (85,9). En concreto, el porcentaje de pesimistas en España, es decir, aquellos que están </w:t>
      </w:r>
      <w:r w:rsidRPr="005D529F">
        <w:rPr>
          <w:rFonts w:cs="Times New Roman"/>
        </w:rPr>
        <w:lastRenderedPageBreak/>
        <w:t>en descuerdo o muy en desacuerdo con la afirmación “soy siempre optimista”, se eleva al 17,4%, porcentaje al que habría que sumar el 20,1% de quienes dudan acerca de su optimismo. Este optimismo pertenece al “carácter personal” en la medida que la afirmación incluye el adverbio “siempre”, lo que induce a pensar que se trata de un optimismo que es en gran parte independiente de las particulares circunstancias en las que viva el sujeto.</w:t>
      </w:r>
    </w:p>
    <w:p w14:paraId="3EC6125E" w14:textId="77777777" w:rsidR="0000205E" w:rsidRDefault="004348F6" w:rsidP="005D529F">
      <w:pPr>
        <w:rPr>
          <w:rFonts w:cs="Times New Roman"/>
        </w:rPr>
      </w:pPr>
      <w:r w:rsidRPr="005D529F">
        <w:rPr>
          <w:rFonts w:cs="Times New Roman"/>
        </w:rPr>
        <w:t>En la encuesta EQLS-2011, la afirmación sobre la que se pedía igualmente el acuerdo o el desacuerdo del entrevistado era la siguiente: “soy optimista con respecto al futuro”. Aquí la semántica no se ciñe exclusivamente al carácter optimista de la persona (“soy siempre”), sino que en parte incorpora también las circunstancias externas al sujeto (“respecto al futuro”). Así se comprende que en este caso el porcentaje de españoles pesimistas suba al 22,8%; el de optimistas baje al 56,9%; y el de quienes no están ni de acuerdo ni en descuerdo, se mantenga casi exactamente igual (20,4%). La comparación internacional demuestra que este segundo tipo de optimismo está mucho más afectado que el puro “carácter optimista” por las circunstancias, tanto de la situación objetiva  personal, como del contexto social, político o económico de su país. Por ejemplo, el porcentaje de griegos que en 2011 expresó “pesimismo respecto al futuro” se elevó hasta la astronómica cifra del 56,1%. Ese mismo año, el porcentaje de pesimistas en Portugal fue 48,8%; en Eslovenia 43,9%; en Francia 38,1%; y en Italia 34,9%. Es evidente que esta variable no solo refleja el carácter optimista o pesimista de las personas, sino también el clima emocional de optimismo o pesimismo que impera en cada uno de estos países. Por ejemplo, en Suecia solamente un 5,6% se mostró pesimistas con respecto al futuro, y en Dinamarca un 6,0%.</w:t>
      </w:r>
    </w:p>
    <w:p w14:paraId="64B142B0" w14:textId="77777777" w:rsidR="0000205E" w:rsidRDefault="004348F6" w:rsidP="005D529F">
      <w:pPr>
        <w:rPr>
          <w:rFonts w:cs="Times New Roman"/>
        </w:rPr>
      </w:pPr>
      <w:r w:rsidRPr="005D529F">
        <w:rPr>
          <w:rFonts w:cs="Times New Roman"/>
        </w:rPr>
        <w:t>Con respecto al fracaso personal, los datos de la Tabla 3.5 muestran que uno de cada cinco españoles, exactamente el 20,5%, reconoce que “algunas veces me siento como si fuera un fracasado”. Teniendo en cuenta que se trata de una respuesta vertida en el contexto de la cumplimentación de un cuestionario, es obvio que nos encontramos ante un reconocimiento público del fracaso personal, lo que da cuenta del alcance afectivo y de la gravedad de esta información. Si a este porcentaje le sumáramos el de quienes no muestran públicamente un claro reconocimiento del fracaso, podríamos concluir que en 2012 aproximadamente un tercio de los españoles sintieron a veces la sensación de ser unos fracasados. El dramatismo de las cifras no requiere ningún comentario, pues muestran hasta qué punto la frustración forma parte de la estructura afectiva de los españoles. El sentimiento de fracaso implica una aceptación púbica de la incapacidad de la persona para lograr los retos que se ha planteado en la vida; presupone implícitamente un alto grado subjetivo de incompetencia personal; y, además, incorpora sentimientos de vergüenza.</w:t>
      </w:r>
    </w:p>
    <w:p w14:paraId="75EF6927" w14:textId="77777777" w:rsidR="0000205E" w:rsidRDefault="004348F6" w:rsidP="005D529F">
      <w:pPr>
        <w:rPr>
          <w:rFonts w:cs="Times New Roman"/>
        </w:rPr>
      </w:pPr>
      <w:r w:rsidRPr="005D529F">
        <w:rPr>
          <w:rFonts w:cs="Times New Roman"/>
        </w:rPr>
        <w:t xml:space="preserve">Ahora bien, el fracaso personal remite siempre a la imposibilidad de ajustarse a los estándares de éxito establecidos por la sociedad y, en este sentido, se trata de un fracaso construido, e incluso podría afirmarse que estimulado y promovido socialmente. De acuerdo con la teoría del “yo-espejo” de Charles Horton Cooley (1964), los sentimientos </w:t>
      </w:r>
      <w:r w:rsidRPr="005D529F">
        <w:rPr>
          <w:rFonts w:cs="Times New Roman"/>
        </w:rPr>
        <w:lastRenderedPageBreak/>
        <w:t>de orgullo y de vergüenza dependen de cómo nosotros imaginemos que nos ven los demás. Cuando imaginamos que su juicio es positivo, sentiremos orgullo, pero si imaginamos que los otros nos juzgan negativamente, sentiremos vergüenza, un sentimiento muy doloroso que muchas veces ni siquiera reconocemos conscientemente (Scheff, 1990). El fracaso del yo es el que se refleja en los patrones de éxito que observamos en los ojos con los que nos miran los demás. Y ello demuestra que, en gran medida, todos somos partícipes del engranaje social contribuyendo a causar el dolor, el sufrimiento y la infelicidad de los demás.</w:t>
      </w:r>
    </w:p>
    <w:p w14:paraId="6A8B1966" w14:textId="77777777" w:rsidR="0000205E" w:rsidRDefault="004348F6" w:rsidP="005D529F">
      <w:pPr>
        <w:rPr>
          <w:rFonts w:cs="Times New Roman"/>
        </w:rPr>
      </w:pPr>
      <w:r w:rsidRPr="005D529F">
        <w:rPr>
          <w:rFonts w:cs="Times New Roman"/>
        </w:rPr>
        <w:t>Las informaciones empíricas incluidas en la Tabla 3.5 muestran que la estructura afectiva de la sociedad española en 2012, con respecto a la de 2006, registra un intenso deterioro del orgullo, esto es, de la valoración emocional que las personas tienen de su propio “yo”. El deterioro afecta a la autoestima, afecta al optimismo y, por supuesto, también al fracaso. En España, el porcentaje de personas que se sienten fracasadas crece desde el 14,6% en 2006, hasta el 20,5% en 2012, lo que significa que durante estos seis años el número de estas personas se ha incrementado en 40,4%. Por su parte, el porcentaje de “pesimistas” ha pasado del 11,6% al 17,4%, experimentando un crecimiento del 50,0%. Por último, como era de esperar, a tenor de la valoración puramente personal que instituye la autoestima, el número de personas que sienten vergüenza de sí mismas sube del 13,0% al 14,1%, lo que implica un crecimiento del 8,5%. Estos tres datos ponen de manifiesto el fuerte impacto que está teniendo la crisis económica, laboral, política y social de España sobre esta dimensión del bienestar emocional. La crisis económica no sólo ha creado una grave crisis social, también ha provocado una crisis de la autoestima, una crisis en el orgullo de los españoles.</w:t>
      </w:r>
    </w:p>
    <w:p w14:paraId="242CFAB0" w14:textId="77777777" w:rsidR="0000205E" w:rsidRDefault="004348F6" w:rsidP="005D529F">
      <w:pPr>
        <w:rPr>
          <w:rFonts w:cs="Times New Roman"/>
        </w:rPr>
      </w:pPr>
      <w:r w:rsidRPr="005D529F">
        <w:rPr>
          <w:rFonts w:cs="Times New Roman"/>
        </w:rPr>
        <w:t>Por último, en la comparación con Europa-20, observamos que en 2012 el porcentaje total de pesimistas existente en España (37,5%) es muy superior al de Europa (30,4%); y que el porcentaje de personas que se sienten fracasadas en España (20,5%) también es mayor que el de Europa (17,8%). Sin embargo, el porcentaje de quienes declaran no sentirse orgullos de sí mismos es, en España (14,1%), muy inferior al de Europa (20,6). Este último resultado podría explicarse, bien por el diferente contenido semántico  de la  formulación de pregunta que utiliza el cuestionario español, bien por factores culturales vinculados a la relevancia que tradicionalmente ha tenido el honor personal en nuestra sociedad.</w:t>
      </w:r>
    </w:p>
    <w:p w14:paraId="6B7531F7" w14:textId="77777777" w:rsidR="0000205E" w:rsidRDefault="004348F6" w:rsidP="004603E6">
      <w:pPr>
        <w:pStyle w:val="Ttulo2"/>
      </w:pPr>
      <w:bookmarkStart w:id="59" w:name="_Toc311991799"/>
      <w:bookmarkStart w:id="60" w:name="_Toc311993028"/>
      <w:r w:rsidRPr="005D529F">
        <w:t>3.5</w:t>
      </w:r>
      <w:r w:rsidR="00827F51" w:rsidRPr="005D529F">
        <w:t xml:space="preserve"> </w:t>
      </w:r>
      <w:r w:rsidRPr="005D529F">
        <w:t xml:space="preserve"> </w:t>
      </w:r>
      <w:r w:rsidR="00A246A3" w:rsidRPr="005D529F">
        <w:t xml:space="preserve">Inquietud, calma, </w:t>
      </w:r>
      <w:r w:rsidR="00827F51" w:rsidRPr="005D529F">
        <w:t>fatiga</w:t>
      </w:r>
      <w:bookmarkEnd w:id="59"/>
      <w:bookmarkEnd w:id="60"/>
    </w:p>
    <w:p w14:paraId="58D956C8" w14:textId="77777777" w:rsidR="0000205E" w:rsidRDefault="004348F6" w:rsidP="005D529F">
      <w:pPr>
        <w:rPr>
          <w:rFonts w:cs="Times New Roman"/>
        </w:rPr>
      </w:pPr>
      <w:r w:rsidRPr="005D529F">
        <w:rPr>
          <w:rFonts w:cs="Times New Roman"/>
        </w:rPr>
        <w:t xml:space="preserve">La encuesta CIS-2011 había precisado los grados de estrés y preocupación de la estructura afectiva de los españoles. Ambos estados emocionales pueden producir en el individuo fatiga física o mental y, aún cuando no toda fatiga necesariamente reduce el bienestar de las personas, es evidente que el agotamiento y la fatiga crónica crean infelicidad. Un organismo activo, pero capaz de recuperar las fuerzas, así como un </w:t>
      </w:r>
      <w:r w:rsidRPr="005D529F">
        <w:rPr>
          <w:rFonts w:cs="Times New Roman"/>
        </w:rPr>
        <w:lastRenderedPageBreak/>
        <w:t xml:space="preserve">espíritu tranquilo y en calma, ajeno a toda perturbación, inquietud o ansiedad, constituyen dos condiciones fundamentales del bienestar emocional. </w:t>
      </w:r>
    </w:p>
    <w:p w14:paraId="3769B963" w14:textId="77777777" w:rsidR="0000205E" w:rsidRDefault="004348F6" w:rsidP="005D529F">
      <w:pPr>
        <w:rPr>
          <w:rFonts w:cs="Times New Roman"/>
        </w:rPr>
      </w:pPr>
      <w:r w:rsidRPr="005D529F">
        <w:rPr>
          <w:rFonts w:cs="Times New Roman"/>
        </w:rPr>
        <w:t>Es importante analizar el cansancio físico y la inquietud psicológica, no sólo por la inmediata y directa repercusión emocional que tienen sobre el individuo, sino también porque estos estados emocionales nos indican el tipo de relación que la persona mantiene con su entorno. El cansancio, la fatiga, el agotamiento, la incapacidad de renovar las energías con el descanso o el sueño, señalan que las exigencias de las tareas a las que se enfrenta un individuo superan su capacidad y resistencia físicas. En este sentido, la fatiga y el estrés comparten un mismo modelo subyacente. Se distinguen, sin embargo, en que el estrés no solo puede estar provocado por una exigencia física excesiva, sino también por cualquier otra exigencia intelectual, social o moral que supere la capacidad y la resistencia de un individuo (Schiffrin y Nelson, 2010) (Thoits, 2010). Sin duda, la inquietud psicológica, la ansiedad y las preocupaciones también pueden provocar un estado generalizado de estrés. Así, la preocupación intensa y/o duradera, inyecta desasosiego en la vida cotidiana de las personas, perturbando la calma que suele imperar en una vida feliz y saludable. Al igual que en el caso del miedo, los sentimientos de  preocupación constituyen indicios de la presencia en el entorno de elementos amenazadores (objetos, personas, hechos, acciones o situaciones) que pueden llegar a causarnos perjuicios o daños. Es decir, que la probabilidad de que un individuo sienta fatiga crónica, sea física o mental, estrés, inquietud espiritual, tensión psicológica, ansiedad o un estado de preocupación intensa y duradera, depende del poder relativo que tenga el individuo con respecto a su entorno, sea natural, social o personal. En suma,  estos sentimientos indican que el sujeto carece recursos suficientes para enfrentarse a las contingencias y potenciales amenazas que proceden de su entorno o mundo.</w:t>
      </w:r>
    </w:p>
    <w:p w14:paraId="23088FD6" w14:textId="77777777" w:rsidR="0000205E" w:rsidRDefault="004348F6" w:rsidP="005D529F">
      <w:pPr>
        <w:rPr>
          <w:rFonts w:cs="Times New Roman"/>
        </w:rPr>
      </w:pPr>
      <w:r w:rsidRPr="005D529F">
        <w:rPr>
          <w:rFonts w:cs="Times New Roman"/>
        </w:rPr>
        <w:t>Frente a los estados emocionales vinculados a la contingencia y a la incertidumbre, se encuentran aquellos otros, como la confianza, la tranquilidad y la calma, que emergen cuando la persona se siente segura, controla su mundo y cuenta con los suficientes recursos de poder para evitar los peligros que puedan acecharle. De ahí que la tranquilidad y la calma, bien provenga de la certidumbre derivada de un alto grado de poder y control, bien provenga de la sabia indiferencia del sujeto frente a los avatares y circunstancias de la vida, forme parte de las cuatro dimensiones de la felicidad. Esto mismo sucede con el grado de energía emocional y vitalidad. Así que ambos estados emocionales, la calma y la vitalidad, parecen formar conjuntamente el equilibrado basamento energético de la meta-emoción de la felicidad</w:t>
      </w:r>
    </w:p>
    <w:p w14:paraId="23BF8F92" w14:textId="77777777" w:rsidR="0000205E" w:rsidRDefault="004348F6" w:rsidP="005D529F">
      <w:pPr>
        <w:rPr>
          <w:rFonts w:cs="Times New Roman"/>
        </w:rPr>
      </w:pPr>
      <w:r w:rsidRPr="005D529F">
        <w:rPr>
          <w:rFonts w:cs="Times New Roman"/>
        </w:rPr>
        <w:t xml:space="preserve">Antes habíamos visto en la Tabla 3.2 que el 35,4% de los españoles estaban estresados en alguna medida. Ahora, en la Tabla 3.6, vemos que el 43,5% no se encuentran la mayor parte del tiempo tranquilos o relajados. La EQLS-2011 corrobora este importante rasgo de la estructura afectiva de la sociedad española, pues según esta encuesta el 46,5% de españoles no se encuentran casi siempre “calmados y relajados”. El estrés es cuestión de grados, pero gracias a contar con datos de tres diferentes encuestas podemos  precisar bastante más el panorama de la tranquilidad y de la calma. Según estas encuestas, </w:t>
      </w:r>
      <w:r w:rsidRPr="005D529F">
        <w:rPr>
          <w:rFonts w:cs="Times New Roman"/>
        </w:rPr>
        <w:lastRenderedPageBreak/>
        <w:t>aproximadamente uno de cada cuatro españoles se encuentra en una situación de estrés, sea físico o mental, y no en una mera situación de ausencia de calma. Por otro lado, sabemos que considerando tanto los datos de CIS</w:t>
      </w:r>
      <w:r w:rsidRPr="005D529F">
        <w:rPr>
          <w:rFonts w:cs="Times New Roman"/>
        </w:rPr>
        <w:noBreakHyphen/>
        <w:t>2011 (8,9%), como los de ESS-2012 (9,3%), uno de cada diez españoles sufre una situación de muy elevado estrés. Finalmente, con respecto a la evolución de los sentimientos de calma entre 2006 y 2012, se observa un interesante fenómeno: crece tanto el polo extremo de la intranquilidad, pasando de 7,9% a 9,3%, como el polo extremo de la tranquilidad, que pasa de 14,3% a 18,0%. Dado que el trabajo es una importante fuente de estrés, quizás la crisis de empleo pudiera explicar estos datos, aparentemente contradictorios. Finalmente, la comparación con Europa-20 muestra que el nivel de estrés de los españoles es sensiblemente mayor que el de los europeos.</w:t>
      </w:r>
    </w:p>
    <w:p w14:paraId="493AD243" w14:textId="09A5BB7D" w:rsidR="0000205E" w:rsidRDefault="0000205E" w:rsidP="005D529F">
      <w:pPr>
        <w:rPr>
          <w:rFonts w:cs="Times New Roman"/>
        </w:rPr>
      </w:pPr>
    </w:p>
    <w:p w14:paraId="70A123FC" w14:textId="361650ED" w:rsidR="0000205E" w:rsidRDefault="004603E6" w:rsidP="005D529F">
      <w:pPr>
        <w:rPr>
          <w:rFonts w:cs="Times New Roman"/>
        </w:rPr>
      </w:pPr>
      <w:r w:rsidRPr="005D529F">
        <w:rPr>
          <w:noProof/>
          <w:lang w:val="es-ES"/>
        </w:rPr>
        <w:drawing>
          <wp:anchor distT="0" distB="0" distL="114300" distR="114300" simplePos="0" relativeHeight="251667456" behindDoc="0" locked="0" layoutInCell="1" allowOverlap="1" wp14:anchorId="01C4564B" wp14:editId="112B5583">
            <wp:simplePos x="0" y="0"/>
            <wp:positionH relativeFrom="column">
              <wp:posOffset>342900</wp:posOffset>
            </wp:positionH>
            <wp:positionV relativeFrom="paragraph">
              <wp:posOffset>25400</wp:posOffset>
            </wp:positionV>
            <wp:extent cx="4438650" cy="236283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3.6.pdf"/>
                    <pic:cNvPicPr/>
                  </pic:nvPicPr>
                  <pic:blipFill rotWithShape="1">
                    <a:blip r:embed="rId22">
                      <a:extLst>
                        <a:ext uri="{28A0092B-C50C-407E-A947-70E740481C1C}">
                          <a14:useLocalDpi xmlns:a14="http://schemas.microsoft.com/office/drawing/2010/main" val="0"/>
                        </a:ext>
                      </a:extLst>
                    </a:blip>
                    <a:srcRect l="13341" t="7543" r="12460" b="64540"/>
                    <a:stretch/>
                  </pic:blipFill>
                  <pic:spPr bwMode="auto">
                    <a:xfrm>
                      <a:off x="0" y="0"/>
                      <a:ext cx="4438650" cy="23628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0EE7DF8" w14:textId="77777777" w:rsidR="0000205E" w:rsidRDefault="0000205E" w:rsidP="005D529F">
      <w:pPr>
        <w:rPr>
          <w:rFonts w:cs="Times New Roman"/>
        </w:rPr>
      </w:pPr>
    </w:p>
    <w:p w14:paraId="08638404" w14:textId="77777777" w:rsidR="0000205E" w:rsidRDefault="0000205E" w:rsidP="005D529F">
      <w:pPr>
        <w:rPr>
          <w:rFonts w:cs="Times New Roman"/>
        </w:rPr>
      </w:pPr>
    </w:p>
    <w:p w14:paraId="6CCC36BC" w14:textId="77777777" w:rsidR="0000205E" w:rsidRDefault="0000205E" w:rsidP="005D529F">
      <w:pPr>
        <w:rPr>
          <w:rFonts w:cs="Times New Roman"/>
        </w:rPr>
      </w:pPr>
    </w:p>
    <w:p w14:paraId="0B0A6087" w14:textId="77777777" w:rsidR="004603E6" w:rsidRDefault="004603E6" w:rsidP="005D529F">
      <w:pPr>
        <w:rPr>
          <w:rFonts w:cs="Times New Roman"/>
        </w:rPr>
      </w:pPr>
    </w:p>
    <w:p w14:paraId="2825CCA6" w14:textId="77777777" w:rsidR="004603E6" w:rsidRDefault="004603E6" w:rsidP="005D529F">
      <w:pPr>
        <w:rPr>
          <w:rFonts w:cs="Times New Roman"/>
        </w:rPr>
      </w:pPr>
    </w:p>
    <w:p w14:paraId="4D28B939" w14:textId="77777777" w:rsidR="004603E6" w:rsidRDefault="004603E6" w:rsidP="005D529F">
      <w:pPr>
        <w:rPr>
          <w:rFonts w:cs="Times New Roman"/>
        </w:rPr>
      </w:pPr>
    </w:p>
    <w:p w14:paraId="11627F61" w14:textId="77777777" w:rsidR="004603E6" w:rsidRDefault="004603E6" w:rsidP="005D529F">
      <w:pPr>
        <w:rPr>
          <w:rFonts w:cs="Times New Roman"/>
        </w:rPr>
      </w:pPr>
    </w:p>
    <w:p w14:paraId="715CCDB8" w14:textId="77777777" w:rsidR="0000205E" w:rsidRDefault="0000205E" w:rsidP="005D529F">
      <w:pPr>
        <w:rPr>
          <w:rFonts w:cs="Times New Roman"/>
        </w:rPr>
      </w:pPr>
    </w:p>
    <w:p w14:paraId="7489947C" w14:textId="77777777" w:rsidR="0000205E" w:rsidRDefault="004348F6" w:rsidP="005D529F">
      <w:pPr>
        <w:rPr>
          <w:rFonts w:cs="Times New Roman"/>
        </w:rPr>
      </w:pPr>
      <w:r w:rsidRPr="005D529F">
        <w:rPr>
          <w:rFonts w:cs="Times New Roman"/>
        </w:rPr>
        <w:t>Sobre el cansancio, la ESS-2006 nos ofrece la siguiente información: un 58,9% de los españoles se han sentido cansados “a veces” durante la última semana. Este dato se corresponde con la situación cotidiana normal, en la que se alternan períodos de actividad que producen fatiga, y períodos reparadores de reposo y relajación. Como señala Bertrand Russell, “Hay muchas clases de fatiga, algunas de las cuales constituyen un obstáculo para la felicidad mucho más grave que otras. La fatiga puramente física, siempre que no sea excesiva, tiende en todo caso a contribuir a la felicidad” (Russell, 2003:67). Así pues, frente a la situación normal de sentirse cansado a veces, encontraríamos dos situaciones anómalas, una por exceso, y otra por defecto. Por un lado, el 19,5% de españoles que afirman sentirse cansados “siempre”, estarían afectados por una fatiga excesiva o crónica, lo que sin duda incidirá negativamente en su bienestar emocional Por otro, un 21,6% de españoles declaran no sentirse cansados “nunca”. Este dato admite al menos dos posibles interpretaciones. Que estas personas gozan de una situación vital privilegiada, en la que no se requiere esfuerzo ni otro tipo de exigencias, o que estas personas están inmersas en un vacío funcional que, excluyéndolas de cualquier actividad, elimina la fatiga de su horizonte.</w:t>
      </w:r>
    </w:p>
    <w:p w14:paraId="24725883" w14:textId="77777777" w:rsidR="0000205E" w:rsidRDefault="004348F6" w:rsidP="005D529F">
      <w:pPr>
        <w:rPr>
          <w:rFonts w:cs="Times New Roman"/>
        </w:rPr>
      </w:pPr>
      <w:r w:rsidRPr="005D529F">
        <w:rPr>
          <w:rFonts w:cs="Times New Roman"/>
        </w:rPr>
        <w:lastRenderedPageBreak/>
        <w:t>Según los datos de la Tabla 3.6, un 15,9% de españoles en 2012 declaró haber dormido inquieto todos los días de la última semana. Esta información, por sí misma, da cuenta de la extensión y del grado de inquietud emocional existente en España. Por su parte, la encuesta EQLS</w:t>
      </w:r>
      <w:r w:rsidRPr="005D529F">
        <w:rPr>
          <w:rFonts w:cs="Times New Roman"/>
        </w:rPr>
        <w:noBreakHyphen/>
        <w:t>2011 preguntaba si durante las dos últimas semanas se había sentido “especialmente tenso”, y un 17,1% de los españoles contestó que sí, que al menos más de la mitad del tiempo. Como vemos, ambas informaciones muestran una elevada congruencia. De la misma manera, analizando la pregunta sobre si “se ha sentido descansado al levantarse”, que no es una pregunta sobre fatiga física, sino más bien sobre inquietud y fatiga mental, vemos que el porcentaje de españoles que, según la ESS-2006, “nunca” se han sentido descansados al levantarse se eleva al 15,7%. Este dato también es congruente con el obtenido en la EQLS-2011, que ofrece un porcentaje de 14,6% de españoles que nunca, o solamente alguna vez, se levantan sintiéndose frescos y descansados. Sin duda, a las personas que se encuentren en estas condiciones emocionales de inquietud o de ansiedad les resultará muy difícil mantener un elevado grado de felicidad. La fatiga fisiológica o muscular, la fatiga cognitiva o intelectual, y la fatiga afectiva y emocional, cuando son excesivas y llegan a ser crónicas, excluyen a las personas de la felicidad.</w:t>
      </w:r>
    </w:p>
    <w:p w14:paraId="77614659" w14:textId="77777777" w:rsidR="0000205E" w:rsidRDefault="004348F6" w:rsidP="005D529F">
      <w:pPr>
        <w:rPr>
          <w:rFonts w:cs="Times New Roman"/>
        </w:rPr>
      </w:pPr>
      <w:r w:rsidRPr="005D529F">
        <w:rPr>
          <w:rFonts w:cs="Times New Roman"/>
        </w:rPr>
        <w:t>La comparación temporal del cansancio físico, según la EQLS de 2007 y 2011, al igual que la comparación comentada anteriormente entre la tranquilidad y la calma, indica que crecen simultáneamente tanto el número de personas fatigadas, como el número de personas descansadas. Estos datos, aparentemente contradictorios, serían hipotéticamente congruentes con una particular distribución social del cansancio en el marco de una crisis de empleo que, por un lado, se muestra más exigente con quienes conservan el empleo pero que, por otro, “liberan” del trabajo y del esfuerzo físico a quienes quedan desempleados. Ahora bien, la comparación temporal en cuanto a la inquietud mental o emocional es clara: el porcentaje de españoles que duermen inquietos pasa del 14,0% en 2006, al 15,9% en 2012.</w:t>
      </w:r>
    </w:p>
    <w:p w14:paraId="432A8B68" w14:textId="77777777" w:rsidR="00311E33" w:rsidRDefault="004348F6" w:rsidP="005D529F">
      <w:pPr>
        <w:rPr>
          <w:rFonts w:cs="Times New Roman"/>
        </w:rPr>
      </w:pPr>
      <w:r w:rsidRPr="005D529F">
        <w:rPr>
          <w:rFonts w:cs="Times New Roman"/>
        </w:rPr>
        <w:t>Por último, la comparación de España y Europa muestra que el grado de cansancio físico de los españoles es aproximadamente igual al de los europeos; que el grado de tranquilidad y calma es mayor; pero que, por el contrario, el grado de inquietud emocional es superior en España.</w:t>
      </w:r>
    </w:p>
    <w:p w14:paraId="51F4BB86" w14:textId="77777777" w:rsidR="00311E33" w:rsidRDefault="00311E33" w:rsidP="005D529F">
      <w:pPr>
        <w:rPr>
          <w:rFonts w:cs="Times New Roman"/>
        </w:rPr>
        <w:sectPr w:rsidR="00311E33" w:rsidSect="00626F34">
          <w:pgSz w:w="11900" w:h="16840"/>
          <w:pgMar w:top="2041" w:right="1814" w:bottom="1758" w:left="1814" w:header="709" w:footer="709" w:gutter="0"/>
          <w:pgNumType w:start="36"/>
          <w:cols w:space="708"/>
          <w:titlePg/>
          <w:docGrid w:linePitch="360"/>
        </w:sectPr>
      </w:pPr>
    </w:p>
    <w:p w14:paraId="17C7CBA9" w14:textId="7841A892" w:rsidR="0000205E" w:rsidRDefault="0099278F" w:rsidP="0099278F">
      <w:pPr>
        <w:pStyle w:val="Ttulo1"/>
      </w:pPr>
      <w:bookmarkStart w:id="61" w:name="_Toc311991800"/>
      <w:bookmarkStart w:id="62" w:name="_Toc311993029"/>
      <w:bookmarkStart w:id="63" w:name="_Toc311998416"/>
      <w:r>
        <w:lastRenderedPageBreak/>
        <w:t xml:space="preserve">4 </w:t>
      </w:r>
      <w:r w:rsidR="00A47530" w:rsidRPr="005D529F">
        <w:t>Excluidos de la felicidad</w:t>
      </w:r>
      <w:bookmarkEnd w:id="61"/>
      <w:bookmarkEnd w:id="62"/>
      <w:bookmarkEnd w:id="63"/>
    </w:p>
    <w:p w14:paraId="204B9442" w14:textId="61BF75A1" w:rsidR="0000205E" w:rsidRDefault="0099278F" w:rsidP="0099278F">
      <w:pPr>
        <w:pStyle w:val="Ttulo2"/>
      </w:pPr>
      <w:bookmarkStart w:id="64" w:name="_Toc311991801"/>
      <w:bookmarkStart w:id="65" w:name="_Toc311993030"/>
      <w:r>
        <w:t>4.1</w:t>
      </w:r>
      <w:r w:rsidR="00A47530" w:rsidRPr="005D529F">
        <w:t xml:space="preserve"> La mayor felicidad para el mayor número</w:t>
      </w:r>
      <w:bookmarkEnd w:id="64"/>
      <w:bookmarkEnd w:id="65"/>
    </w:p>
    <w:p w14:paraId="62B107C8" w14:textId="77777777" w:rsidR="0000205E" w:rsidRDefault="00A47530" w:rsidP="005D529F">
      <w:pPr>
        <w:rPr>
          <w:rFonts w:cs="Times New Roman"/>
        </w:rPr>
      </w:pPr>
      <w:r w:rsidRPr="005D529F">
        <w:rPr>
          <w:rFonts w:cs="Times New Roman"/>
        </w:rPr>
        <w:t>El utilitarismo del filántropo y político inglés Jeremías Bentham (1748-1832) partía del mismo principio que muchos otros filósofos iluministas: la máxima felicidad posible para el mayor número posible de personas. Francis Hutcheson (1694-1747), profesor de filosofía moral de la Universidad de Glasgow, fue el primero en utilizar esta fórmula, “la mayor felicidad del mayor número”, que asimismo inspiró la obra fundamental del penalista italiano César Beccaria (1738-1794), De los delitos y de las penas, publicada en 1764. Pese al reconocimiento explícito de la importancia de la política, el eudamonismo y el hedonismo clásicos circunscribían la aspiración y el logro de la felicidad al ámbito estrictamente individual. En este sentido, los tratados de filosofía práctica sobre la felicidad, como las máximas de Demócrito y de Epicuro, o la obra De consolatione philosophiae, del filósofo romano Boeccio, comparten con la literatura psicoterapeútica y de autoayuda, tan en boga en estos momentos de cultura posmoderna, esta referencia individualista.</w:t>
      </w:r>
    </w:p>
    <w:p w14:paraId="401A1F3F" w14:textId="77777777" w:rsidR="0000205E" w:rsidRDefault="00A47530" w:rsidP="005D529F">
      <w:pPr>
        <w:rPr>
          <w:rFonts w:cs="Times New Roman"/>
        </w:rPr>
      </w:pPr>
      <w:r w:rsidRPr="005D529F">
        <w:rPr>
          <w:rFonts w:cs="Times New Roman"/>
        </w:rPr>
        <w:t>Sin embargo, el hedonismo característico de la Ilustración, que inaugura el advenimiento de la modernidad, y que se plasma en el utilitarismo radical de Bentham, contiene un ineludible componente social. El bien, esto es, el aumento del placer y la evitación del dolor, debe ser valorado en cualquier caso en tanto bien común. El principio de felicidad de esta filosofía utilitarista toma como referencia básica al individuo, pero es proyectado socialmente al tener en cuenta al conjunto de la colectividad. El juicio ético que nos merezca cualquier idea, hecho u acción dependerá de la cantidad total de placer o de dolor que causen. Esta cantidad de felicidad asociada con una ideología, medida política, costumbre, ley, hecho, acontecimiento, persona u acción concretas sería la suma de los incrementos o decrementos de felicidad que experimentarían todos los miembros de un determinado sistema social causado por cada uno de ellas. El utilitarismo de Bentham era racionalista y positivista, y estaba basado en el convencimiento de que era posible aplicar el cálculo a los placeres, esto es, que el placer y el dolor podían pesarse y medirse. Primero, porque, según el, todos los placeres son cualitativamente similares, y por tanto comparables. Tan solo se distinguen por su intensidad, de ahí que sean cuantificables. Segundo, porque los placeres y los dolores de todos los seres humanos, independientemente de su clase y condición, son equivalentes y por tanto conmensurables. Este principio democrático hace que los placeres de un conjunto de individuos se puedan sumar y restar, es decir sean susceptibles de agregación.</w:t>
      </w:r>
    </w:p>
    <w:p w14:paraId="7C756ED7" w14:textId="77777777" w:rsidR="0000205E" w:rsidRDefault="00A47530" w:rsidP="005D529F">
      <w:pPr>
        <w:rPr>
          <w:rFonts w:cs="Times New Roman"/>
        </w:rPr>
      </w:pPr>
      <w:r w:rsidRPr="005D529F">
        <w:rPr>
          <w:rFonts w:cs="Times New Roman"/>
        </w:rPr>
        <w:t xml:space="preserve">El filósofo utilitarista John Stuart Mill, hijo de James Mill, amigo y discípulo de Bentham, no creía que todos los placeres fueran comparables ni conmensurables. Ahondó en el problema de la diferente cualidad tanto personal como moral de los </w:t>
      </w:r>
      <w:r w:rsidRPr="005D529F">
        <w:rPr>
          <w:rFonts w:cs="Times New Roman"/>
        </w:rPr>
        <w:lastRenderedPageBreak/>
        <w:t>placeres. De ahí su famosa, si bien un poco forzada, comparación: “</w:t>
      </w:r>
      <w:r w:rsidRPr="005D529F">
        <w:rPr>
          <w:rFonts w:cs="Times New Roman"/>
          <w:bCs/>
          <w:lang w:val="es-ES"/>
        </w:rPr>
        <w:t>Es mejor ser un hombre insatisfecho que un cerdo satisfecho; es mejor ser Sócrates insatisfecho que un loco satisfecho”</w:t>
      </w:r>
      <w:r w:rsidRPr="005D529F">
        <w:rPr>
          <w:rFonts w:cs="Times New Roman"/>
        </w:rPr>
        <w:t xml:space="preserve">.  </w:t>
      </w:r>
    </w:p>
    <w:p w14:paraId="29BBA700" w14:textId="77777777" w:rsidR="0000205E" w:rsidRDefault="00BE3586" w:rsidP="0099278F">
      <w:pPr>
        <w:pStyle w:val="Ttulo2"/>
      </w:pPr>
      <w:bookmarkStart w:id="66" w:name="_Toc311991802"/>
      <w:bookmarkStart w:id="67" w:name="_Toc311993031"/>
      <w:r w:rsidRPr="005D529F">
        <w:t xml:space="preserve">4.2 </w:t>
      </w:r>
      <w:r w:rsidR="00A47530" w:rsidRPr="005D529F">
        <w:t xml:space="preserve"> La desigualdad social en riqueza e ingresos</w:t>
      </w:r>
      <w:bookmarkEnd w:id="66"/>
      <w:bookmarkEnd w:id="67"/>
    </w:p>
    <w:p w14:paraId="3E899F75" w14:textId="77777777" w:rsidR="0000205E" w:rsidRDefault="00A47530" w:rsidP="005D529F">
      <w:pPr>
        <w:rPr>
          <w:rFonts w:cs="Times New Roman"/>
        </w:rPr>
      </w:pPr>
      <w:r w:rsidRPr="005D529F">
        <w:rPr>
          <w:rFonts w:cs="Times New Roman"/>
        </w:rPr>
        <w:t>El problema estriba en que el horizonte ético inaugurado en los albores de la modernidad, la mayor felicidad para el mayor numero, fue progresivamente transmutándose y traduciéndose como la mayor riqueza para el mayor número. El progreso de la humanidad se equiparó en exclusiva al grado de desarrollo material, y el crecimiento económico se convirtió en la medida de todas las cosas. Según demostró Max Weber en La ética protestante y el espíritu del capitalismo, seres humanos que amaban a Dios por encima de todas las cosas, acabaron adorando al Becerro de Oro (Bericat, 2001a). La riqueza de la naciones, el sugerente título de la obra germinal de Adam Smith, publicada en 1776, se impuso al de otra obra germinal escrita por el mismo autor, La teoría de los sentimientos morales, publicada en 1759, casi dos décadas antes. Finalmente, en 1934, el economista ruso-americano Simon Kuznets presentó ante el congreso estadounidense el Producto Interior Bruto (PIB), el indicador que desde hace ochenta años domina el horizonte axiológico de todas las naciones del mundo. Desde el telos normativo que ha dominado la época moderna, equiparando riqueza y felicidad, el precio total de la producción de bienes y servicios de demanda final se ha convertido en el valor supremo, en el bien común por excelencia.</w:t>
      </w:r>
    </w:p>
    <w:p w14:paraId="4F56B92A" w14:textId="77777777" w:rsidR="0000205E" w:rsidRDefault="00A47530" w:rsidP="005D529F">
      <w:pPr>
        <w:rPr>
          <w:rFonts w:cs="Times New Roman"/>
        </w:rPr>
      </w:pPr>
      <w:r w:rsidRPr="005D529F">
        <w:rPr>
          <w:rFonts w:cs="Times New Roman"/>
        </w:rPr>
        <w:t>Todavía hoy, enfrentados a una brutal crisis económica, la absoluta hegemonía moral de la riqueza se muestra en la relevancia ética que adquiere la desigualdad económica en nuestra sociedades. El impacto público de algunas obras así lo ponen de manifiesto. El precio de la desigualdad, del premio Nobel de Economía Joseph E. Stiglitz, o el aún más reciente trabajo del economista francés Thomas Piketty, El capital en el siglo XXI, serían dos de estas obras. Zygmunt Bauman, siempre oportuno, ha publicado un opúsculo sobre el tema con el título ¿La riqueza de unos pocos nos beneficia a todos? Lo cierto es que si bien ya casi todo el mundo reconoce, como el propio Stiglitz, “que el PIB per capita –o incluso otros indicadores de renta- no ofrece una medida adecuada del bienestar” (Stiglitz, 2014:43) (Stiglitz et al., 2009), la desigualdad de la riqueza y de los ingresos sigue constituyendo el motivo más legítimo, el motivo por antonomasia, de toda crítica y contestación social.</w:t>
      </w:r>
    </w:p>
    <w:p w14:paraId="202F6E44" w14:textId="77777777" w:rsidR="0000205E" w:rsidRDefault="00A47530" w:rsidP="005D529F">
      <w:pPr>
        <w:rPr>
          <w:rFonts w:cs="Times New Roman"/>
        </w:rPr>
      </w:pPr>
      <w:r w:rsidRPr="005D529F">
        <w:rPr>
          <w:rFonts w:cs="Times New Roman"/>
        </w:rPr>
        <w:t xml:space="preserve">En el año 2007, “el 0,1% más alto de las familias de Estados Unidos tenía unos ingresos 220 veces mayores que la media del 90 por cierto inferior. La riqueza estaba repartida de forma aún más desigual que los ingresos, ya que el 1% más rico poseía más de un tercio de la riqueza del país”. Los ingresos medios, después de impuestos, del 1% más alto eran 73 veces los ingresos medios del 20% inferior (Stiglitz, 2014:49-50). “En lo más bajo del todo, para 2011, el número de familias estadounidenses en situación de pobreza extrema, </w:t>
      </w:r>
      <w:r w:rsidRPr="005D529F">
        <w:rPr>
          <w:rFonts w:cs="Times New Roman"/>
        </w:rPr>
        <w:lastRenderedPageBreak/>
        <w:t xml:space="preserve">-los que viven, al menos durante un mes al año, con dos dólares al día por persona o menos- se había duplicado respecto a 1996, hasta alcanzar 1,5 millones de familia” (Stiglitz, 2014:63). La Organización Internacional del Trabajo estima que 3.000 millones de personas viven por debajo del umbral de pobreza, establecido en 2 dólares al día” (Bauman, 2014:19). La medición de la desigualdad económica mediante este umbral de pobreza absoluta o extrema se complementa con la cuantificación de las personas que están por debajo del umbral de pobreza relativa, es decir, por debajo del 60% de la mediana de los ingresos. </w:t>
      </w:r>
    </w:p>
    <w:p w14:paraId="36D7A40B" w14:textId="77777777" w:rsidR="0000205E" w:rsidRDefault="00A47530" w:rsidP="005D529F">
      <w:pPr>
        <w:rPr>
          <w:rFonts w:cs="Times New Roman"/>
        </w:rPr>
      </w:pPr>
      <w:r w:rsidRPr="005D529F">
        <w:rPr>
          <w:rFonts w:cs="Times New Roman"/>
        </w:rPr>
        <w:t>En 2006, uno de cada cinco españoles (20,3%) vivía por debajo del umbral de la pobreza, es decir, con unos ingresos inferiores al 60% de la mediana. En 2012 este porcentaje ascendió al 22,2%. Incluso imputando el alquiler de la vivienda propia, la estimación realizada por el Instituto Nacional de Estadística para 2006 y 2012 es, respectivamente, del 16,0% y del 19,7%, unas cifras muy elevadas. Según datos de Eurostat, el instituto estadístico de la Unión Europea, el diez por ciento de españoles con mayores ingresos acapararon en 2006 un 23,7% del total de ingresos. En 2012, esta cifra ascendió al 24,8 %, alcanzando una  quinta parte del total. Por el contrario, el diez por ciento de los españoles con ingresos más bajos sólo recibieron en 2006 un 2,4% del total, y en 2012 aún menos, un exiguo 1,5%.</w:t>
      </w:r>
    </w:p>
    <w:p w14:paraId="348C777A" w14:textId="77777777" w:rsidR="0000205E" w:rsidRDefault="00A47530" w:rsidP="005D529F">
      <w:pPr>
        <w:rPr>
          <w:rFonts w:cs="Times New Roman"/>
        </w:rPr>
      </w:pPr>
      <w:r w:rsidRPr="005D529F">
        <w:rPr>
          <w:rFonts w:cs="Times New Roman"/>
        </w:rPr>
        <w:t>Mientras que, en 2006, el ingreso máximo del diez por ciento de españoles con menores ingresos (primer decil) fue de 4.873€ anuales, el ingreso mínimo del diez por ciento con mayores ingresos (décimo decil) fue de 21.932€, esto es, 4,5 veces más. En 2012 estos ingresos fueron, respectivamente, de 4.675 y de 25.385, es decir, que tras algunos años de crisis económica la desigualdad en España ha continuado su imparable incremento, siendo ahora 5,4 veces superior. El cinco por ciento de los españoles con mayores ingresos ingresó al menos 26.825€ en 2006 (y 31.800€ en 2012), mientras que el cinco por ciento de españoles con menores ingresos ingresó como mucho en 2006 un total anual de 3.407€ (y 2,629€, aún menos, en 2012). Como vemos, los primeros ingresaron como poco 7,9 veces más en 2006, y 12,1 veces más en 2012. En suma, la desigualdad económica es muy evidente.</w:t>
      </w:r>
    </w:p>
    <w:p w14:paraId="52A42A4D" w14:textId="77777777" w:rsidR="0000205E" w:rsidRDefault="00BE3586" w:rsidP="0099278F">
      <w:pPr>
        <w:pStyle w:val="Ttulo2"/>
      </w:pPr>
      <w:bookmarkStart w:id="68" w:name="_Toc311991803"/>
      <w:bookmarkStart w:id="69" w:name="_Toc311993032"/>
      <w:r w:rsidRPr="005D529F">
        <w:t xml:space="preserve">4.3 </w:t>
      </w:r>
      <w:r w:rsidR="00A47530" w:rsidRPr="005D529F">
        <w:t xml:space="preserve"> La desigualda</w:t>
      </w:r>
      <w:r w:rsidRPr="005D529F">
        <w:t>d social en bienestar emocional</w:t>
      </w:r>
      <w:bookmarkEnd w:id="68"/>
      <w:bookmarkEnd w:id="69"/>
    </w:p>
    <w:p w14:paraId="7D141491" w14:textId="77777777" w:rsidR="0000205E" w:rsidRDefault="00A47530" w:rsidP="005D529F">
      <w:pPr>
        <w:rPr>
          <w:rFonts w:cs="Times New Roman"/>
        </w:rPr>
      </w:pPr>
      <w:r w:rsidRPr="005D529F">
        <w:rPr>
          <w:rFonts w:cs="Times New Roman"/>
        </w:rPr>
        <w:t>Sabemos con suficiente precisión hasta qué punto la sociedad moderna y el capitalismo han cumplido la promesa de alcanzar mayores cotas de progreso económico, y también sabemos que ni la riqueza ni los ingresos se distribuyen equitativamente entre la población. Sabemos que la desigualdad económica persiste. Ahora bien, retomando como referencia el anhelo original de la modernidad, lo que no sabemos es hasta qué punto, trascurridos algo más de dos siglos, las sociedades modernas han cumplido la promesa de lograr “la mayor felicidad para el mayor número”.</w:t>
      </w:r>
    </w:p>
    <w:p w14:paraId="13657EAD" w14:textId="77777777" w:rsidR="0000205E" w:rsidRDefault="00A47530" w:rsidP="005D529F">
      <w:pPr>
        <w:rPr>
          <w:rFonts w:cs="Times New Roman"/>
        </w:rPr>
      </w:pPr>
      <w:r w:rsidRPr="005D529F">
        <w:rPr>
          <w:rFonts w:cs="Times New Roman"/>
        </w:rPr>
        <w:lastRenderedPageBreak/>
        <w:t>Ahora bien, las puntuaciones estimadas para cada uno de los españoles mediante la aplicación del índice que hemos diseñado, construido y validado, esto es,  el Índice de Bienestar Socioemocional (IBSE), permite responder a la pregunta de hasta qué punto se ha alcanzado en España la meta de la mayor felicidad para el mayor número. En el Gráfico 1 puede verse la distribución porcentual de las puntuaciones de bienestar emocional obtenidas por los españoles en la Encuesta Social Europea de 2006, lo que nos ofrece una imagen precisa tanto de los grados de felicidad existentes entre los españoles, como de la desigualdad de bienestar emocional característica de la sociedad española.</w:t>
      </w:r>
    </w:p>
    <w:p w14:paraId="5FC5223E" w14:textId="77777777" w:rsidR="0000205E" w:rsidRDefault="00A47530" w:rsidP="005D529F">
      <w:pPr>
        <w:rPr>
          <w:rFonts w:cs="Times New Roman"/>
        </w:rPr>
      </w:pPr>
      <w:r w:rsidRPr="005D529F">
        <w:rPr>
          <w:rFonts w:cs="Times New Roman"/>
          <w:noProof/>
          <w:lang w:val="es-ES"/>
        </w:rPr>
        <w:drawing>
          <wp:anchor distT="0" distB="0" distL="114300" distR="114300" simplePos="0" relativeHeight="251669504" behindDoc="0" locked="0" layoutInCell="1" allowOverlap="1" wp14:anchorId="47E6CC18" wp14:editId="7362A508">
            <wp:simplePos x="0" y="0"/>
            <wp:positionH relativeFrom="column">
              <wp:posOffset>0</wp:posOffset>
            </wp:positionH>
            <wp:positionV relativeFrom="paragraph">
              <wp:posOffset>879475</wp:posOffset>
            </wp:positionV>
            <wp:extent cx="2628900" cy="4808855"/>
            <wp:effectExtent l="25400" t="25400" r="38100" b="1714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bución del IBSE España 06.pdf"/>
                    <pic:cNvPicPr/>
                  </pic:nvPicPr>
                  <pic:blipFill rotWithShape="1">
                    <a:blip r:embed="rId23">
                      <a:extLst>
                        <a:ext uri="{28A0092B-C50C-407E-A947-70E740481C1C}">
                          <a14:useLocalDpi xmlns:a14="http://schemas.microsoft.com/office/drawing/2010/main" val="0"/>
                        </a:ext>
                      </a:extLst>
                    </a:blip>
                    <a:srcRect l="10027" t="8244" r="45953" b="29535"/>
                    <a:stretch/>
                  </pic:blipFill>
                  <pic:spPr bwMode="auto">
                    <a:xfrm>
                      <a:off x="0" y="0"/>
                      <a:ext cx="2628900" cy="4808855"/>
                    </a:xfrm>
                    <a:prstGeom prst="rect">
                      <a:avLst/>
                    </a:prstGeom>
                    <a:ln w="3175" cmpd="sng">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D529F">
        <w:rPr>
          <w:rFonts w:cs="Times New Roman"/>
        </w:rPr>
        <w:t>En la escala izquierda del gráfico se indican las puntuaciones obtenidas por el Análisis de Factor Común (AFC). Dado que las puntuaciones factoriales de este análisis se han obtenido utilizando la muestra general de Europa, el hecho de que una persona haya obtenido el valor “0” significa que está persona tienen un nivel de bienestar emocional igual a la media europea, es decir, que será aproximadamente igual de feliz que la media de los ciudadanos europeos. A quienes, en función de lo que hayan respondido al conjunto de estados emocionales por los que se les ha preguntado, se les haya estimado una puntuación negativa, tendrán un nivel de bienestar subjetivo inferior a la media, un bienestar tanto peor cuanto menor haya sido su puntuación en el índice de Bienestar Socioemocional (IBSE). A la inversa, los españoles que hayan obtenido puntuaciones positivas tendrán un grado de contento y felicidad más elevado, tanto más elevado cuanto más alta sea su puntuación. La escala de la derecha del Gráfico 1 es una mera transformación aritmética de la escala de la izquierda, y por tanto no altera sustantivamente las mediciones establecidas por el índice.</w:t>
      </w:r>
    </w:p>
    <w:p w14:paraId="5972F883" w14:textId="77777777" w:rsidR="0000205E" w:rsidRDefault="00A47530" w:rsidP="005D529F">
      <w:pPr>
        <w:rPr>
          <w:rFonts w:cs="Times New Roman"/>
        </w:rPr>
      </w:pPr>
      <w:r w:rsidRPr="005D529F">
        <w:rPr>
          <w:rFonts w:cs="Times New Roman"/>
        </w:rPr>
        <w:t xml:space="preserve">El valor de la escala derecha se obtiene sencillamente sumando 200 puntos al valor de la escala izquierda. En esta escala las personas más felices obtendrían una puntuación máxima de 100, que coincide con la máxima temperatura que puede alcanzar el agua en estado líquido. Celsius asignó el valor 100 al punto de ebullición de gua. En el extremo opuesto, la puntuación mínima de felicidad existente en toda la muestra europea llega hasta el -196,85, que puede ser considerada como el punto cero de felicidad, como la situación de una persona hundida </w:t>
      </w:r>
      <w:r w:rsidRPr="005D529F">
        <w:rPr>
          <w:rFonts w:cs="Times New Roman"/>
        </w:rPr>
        <w:lastRenderedPageBreak/>
        <w:t xml:space="preserve">en la más profunda sima de la desesperación y del malestar emocional. Tomando como referencia los grados Celsius, la escala ideada por William Thomson, Lord Kelvin, tiene la particularidad de medir la temperatura, llamada temperatura absoluta, partiendo del cero absoluto, punto de menor energía térmica posible de un sistema macroscópico, equivalente a -273,15 °C. Tomando como modelo esta escala de la física, podríamos decir que la puntuación cero en la escala Kelvin de bienestar socioemocional se corresponde, en la terminología de Randall Collins, con la mínima energía emocional que puede experimentar un ser humano. La realización de algunos cálculos matemáticos exige que la medición contenga un punto de origen o cero, y esta es la razón por la que se ofrece la posibilidad de utilizar ambas escalas, aritméticamente equivalentes. </w:t>
      </w:r>
    </w:p>
    <w:p w14:paraId="6C801505" w14:textId="77777777" w:rsidR="0000205E" w:rsidRDefault="00A47530" w:rsidP="005D529F">
      <w:pPr>
        <w:rPr>
          <w:rFonts w:cs="Times New Roman"/>
        </w:rPr>
      </w:pPr>
      <w:r w:rsidRPr="005D529F">
        <w:rPr>
          <w:rFonts w:cs="Times New Roman"/>
        </w:rPr>
        <w:t>En cualquier caso, la distribución representada en el Gráfico 1 pone de manifiesto que el buen ánimo, el bienestar socioemocional o la felicidad, al igual que sucede con la riqueza o con los ingresos, y con otros muchos rasgos que fundamentan la inequidad entre los seres humanos, está distribuida muy desigualmente entre la población española. El bienestar emocional de algunas personas, aquellas que alcanzan puntuaciones próximas al 100 ó punto de ebullición, es el de una continua y plena felicidad. En el extremo opuesto, sin embargo, encontramos un significativo número de españoles que, con puntuaciones inferiores a -100, viven sumidos en la desgracia, en la infelicidad o en la depresión. Entre ambos extremos, todos los grados de felicidad son posibles. En suma, en contra de la idea popular, sustentada por el sentido común y por ciertas ideologías interesadas en subrayar que todos los individuos, independientemente de su condición social, pueden ser o llegar a ser igualmente felices, estos datos demuestran, más allá de toda duda, que no todos los españoles son igualmente felices. Mientras que unas personas son extremadamente felices, otras están sistemáticamente excluidas de la felicidad. En suma, estos datos, que ponen de manifiesto la gran desigualdad existente en la distribución social del bienestar emocional de la sociedad española, nos enfrentan al ineludible reto de analizar y conocer con mucho más detalle las lógicas, los mecanismos y los procesos mediante los que sociedad española, y otras, establecen este especialísimo y muy relevante tipo de desigualdad. En suma, nos enfrenta a la necesidad de analizar y conocer en detalle la estratificación social de la felicidad.</w:t>
      </w:r>
    </w:p>
    <w:p w14:paraId="60A71C4A" w14:textId="77777777" w:rsidR="0000205E" w:rsidRDefault="00A47530" w:rsidP="005D529F">
      <w:pPr>
        <w:rPr>
          <w:rFonts w:cs="Times New Roman"/>
        </w:rPr>
      </w:pPr>
      <w:r w:rsidRPr="005D529F">
        <w:rPr>
          <w:rFonts w:cs="Times New Roman"/>
        </w:rPr>
        <w:t xml:space="preserve">Ahora bien, antes de iniciar este camino, orientado a analizar la desigualdad de bienestar emocional existente en España, y sobre todo a descubrir quiénes son los y las españoles y españolas que más sufren, y cuánto sufren, en suma, quienes son los excluidos de la felicidad,  conviene destacar y comentar dos aspectos formales, pero al mismo tiempo esenciales, de la distribución representada en el Grafico 1. El primero tiene que ver con el hecho de que la curva es asimétrica. Mientras que la puntuación máxima que alcanza un español en la escala es 96,7, la puntuación mínima llega a descender hasta -186,5. Esto significa que se puede caer mucho más profundamente por la sima del sufrimiento, la desgracia, la depresión y la infelicidad, que lo que podemos ascender y permanecer en la cima de la alegría y la felicidad. También significa que la mayor parte de los seres humanos, salvo quienes no pueden evitar un desplome emocional de catastróficas consecuencias, se las ingenia para encontrar, en cualquier circunstancia y situación, </w:t>
      </w:r>
      <w:r w:rsidRPr="005D529F">
        <w:rPr>
          <w:rFonts w:cs="Times New Roman"/>
        </w:rPr>
        <w:lastRenderedPageBreak/>
        <w:t>siquiera alguna tenue luz de gratificación emocional en sus vidas. Esta asimetría está implícita en la propia naturaleza del ser humano: en tanto que un único aspecto de la vida provoque en la persona un intenso dolor, insatisfacción o tristeza, le será imposible sentirse plenamente contento y feliz. A la inversa, para que un individuo pueda llegar a sentirse completamente infeliz y desgraciado bastará que una única espina le cause suficiente insatisfacción, tristeza o dolor. Por otra parte, la asimetría también afecta al componente expresivo de las emociones, pues la ingenua manifestación pública de la felicidad provoca pudor y vergüenza. En cierto modo, diríase que únicamente al bobo, o al enamorado, le asiste el derecho a declararse plena e  inmutablemente feliz. La expresión de la desgracia, sin embargo, está regida  por reglas de pudor y vergüenza muy diferentes.</w:t>
      </w:r>
    </w:p>
    <w:p w14:paraId="28EB44E8" w14:textId="77777777" w:rsidR="0000205E" w:rsidRDefault="00A47530" w:rsidP="005D529F">
      <w:pPr>
        <w:rPr>
          <w:rFonts w:cs="Times New Roman"/>
        </w:rPr>
      </w:pPr>
      <w:r w:rsidRPr="005D529F">
        <w:rPr>
          <w:rFonts w:cs="Times New Roman"/>
        </w:rPr>
        <w:t>En segundo lugar, la forma de la curva nos indica que la felicidad se distribuye según una pauta normal, esto es, que la mayor parte de la población se concentra en las puntuaciones centrales. Así, por ejemplo, el 73,3% de la población española tiene un grado de felicidad que se ubica entre las puntuaciones ±50, aunque son algo más quienes superan la puntuación cero (41,3%), que quienes se encuentran por debajo de esta puntuación (32,0%). Un 13,6% de la población española supera el valor cincuenta, y un 13,1% está por debajo de la puntuación menos cincuenta. Esta tendencia central se explica por la propia naturaleza de la felicidad humana que, según Emilio Lledó, ha de ser entendida como el estado de vigilia en el que se plantea la necesidad de una correspondencia entre la posibilidad y la realidad. Por tanto, en la mayoría de personas imperan habitualmente estados anímicos moderados que van con sus señales indicando y guiando al propio “yo” en el empeño de conseguir el mayor grado de correspondencia posible. La filosofía de la felicidad del “yo activo” de Emilio Durkheim, en la que basa su explicación de los suicidios anómico y fatalista, está basada en tres elementos: a) la voluntad, los deseos o las aspiraciones de los seres humanos; b) la capacidad que tienen en un determinado contexto para realizarla, y c) los logros efectivamente alcanzados. La felicidad, como ya indicara Epicuro, y siglos más tarde Schopenhauer, no es una función de aquello que se obtiene en términos absolutos, sino que depende de una ecuación individual compuesta de aspiraciones y logros. La fortuna, nos dice Schopenhauer, considerada en sí misma, está tan desprovista de sentido como el numerador de una fracción sin denominador. En suma, aspiraciones, medios y realizaciones efectivas constituyen el triángulo de una teoría del logro, de la  frustración y de la resignación que, sin duda, contribuye tanto a moderar la felicidad como la desgracia, el sufrimiento y la infelicidad (Bericat, 2001b:93).</w:t>
      </w:r>
    </w:p>
    <w:p w14:paraId="1551DF67" w14:textId="77777777" w:rsidR="0000205E" w:rsidRDefault="00A47530" w:rsidP="005D529F">
      <w:pPr>
        <w:rPr>
          <w:rFonts w:cs="Times New Roman"/>
        </w:rPr>
      </w:pPr>
      <w:r w:rsidRPr="005D529F">
        <w:rPr>
          <w:rFonts w:cs="Times New Roman"/>
        </w:rPr>
        <w:t>Pese a esta tendencia central, derivada de la propia naturaleza del placer y de la felicidad, la distribución del bienestar socioemocional, como se ha visto en el gráfico, es manifiestamente desigualitaria. Tomando como referencia los valores Kelvin del IBSE</w:t>
      </w:r>
      <w:r w:rsidRPr="005D529F">
        <w:rPr>
          <w:rStyle w:val="Refdenotaalpie"/>
          <w:rFonts w:cs="Times New Roman"/>
        </w:rPr>
        <w:footnoteReference w:id="4"/>
      </w:r>
      <w:r w:rsidRPr="005D529F">
        <w:rPr>
          <w:rFonts w:cs="Times New Roman"/>
        </w:rPr>
        <w:t xml:space="preserve">, </w:t>
      </w:r>
      <w:r w:rsidRPr="005D529F">
        <w:rPr>
          <w:rFonts w:cs="Times New Roman"/>
        </w:rPr>
        <w:lastRenderedPageBreak/>
        <w:t>se ha estimado que el 1% más feliz de españoles es 6,3 veces más feliz que el 1% menos feliz. Este único dato bastaría por sí mismo para demostrar que, en nuestra sociedad, mientras unas personas disfrutan y gozan de la vida, la vida cotidiana de otras está plagada de sinsabores, de penas, de sufrimiento y dolor. Los primeros tienen una puntuación media en el IBSE de 296,7K, muy próxima al valor máximo, que es trescientos, mientras que la media de los segundos es de tan sólo 47,2K, cercana al cero absoluto de felicidad. Asimismo, en 2006 se observa que en España el 5% más feliz es 3,4 veces más feliz que el 5% menos feliz, siendo sus valores medios de 281,9K y 83,9K, respectivamente. La abrumadora diferencia existente entre las posiciones de ambos en la escala es de casi 200 puntos, sin duda una distancia que marca la diferencia vital entre bienestar y malestar emocional.</w:t>
      </w:r>
    </w:p>
    <w:p w14:paraId="30A3BC45" w14:textId="77777777" w:rsidR="0000205E" w:rsidRDefault="00A47530" w:rsidP="005D529F">
      <w:pPr>
        <w:rPr>
          <w:rFonts w:cs="Times New Roman"/>
        </w:rPr>
      </w:pPr>
      <w:r w:rsidRPr="005D529F">
        <w:rPr>
          <w:rFonts w:cs="Times New Roman"/>
          <w:noProof/>
          <w:lang w:val="es-ES"/>
        </w:rPr>
        <w:drawing>
          <wp:anchor distT="0" distB="0" distL="114300" distR="114300" simplePos="0" relativeHeight="251670528" behindDoc="0" locked="0" layoutInCell="1" allowOverlap="1" wp14:anchorId="6FB42048" wp14:editId="5428502E">
            <wp:simplePos x="0" y="0"/>
            <wp:positionH relativeFrom="column">
              <wp:posOffset>0</wp:posOffset>
            </wp:positionH>
            <wp:positionV relativeFrom="paragraph">
              <wp:posOffset>774700</wp:posOffset>
            </wp:positionV>
            <wp:extent cx="2636520" cy="237490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 Cantidad total de felicidad.pdf"/>
                    <pic:cNvPicPr/>
                  </pic:nvPicPr>
                  <pic:blipFill rotWithShape="1">
                    <a:blip r:embed="rId24">
                      <a:extLst>
                        <a:ext uri="{28A0092B-C50C-407E-A947-70E740481C1C}">
                          <a14:useLocalDpi xmlns:a14="http://schemas.microsoft.com/office/drawing/2010/main" val="0"/>
                        </a:ext>
                      </a:extLst>
                    </a:blip>
                    <a:srcRect l="28787" t="12558" r="26356" b="65599"/>
                    <a:stretch/>
                  </pic:blipFill>
                  <pic:spPr bwMode="auto">
                    <a:xfrm>
                      <a:off x="0" y="0"/>
                      <a:ext cx="2636520" cy="23749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D529F">
        <w:rPr>
          <w:rFonts w:cs="Times New Roman"/>
        </w:rPr>
        <w:t>Si consideramos la cantidad de felicidad total existente en un país, o en cualquier otro agregado social, la desigualdad en bienestar socioemocional también puede expresarse, al igual que se calcula con el patrimonio o los ingresos, como la parte de felicidad que corresponde a cada uno de estos grupos. Así, el 5% de las personas más felices en España acaparan el 7,2% de toda la felicidad del país, mientras que el 5% menos felices tan solo disfrutan de un 2,1% de la felicidad total. Por cantidad total de felicidad, sea de un país o de cualquier otro agregado social, ha de entenderse el sumatorio del grado de felicidad que disfrutan todos y cada uno de sus miembros. Creo que este concepto capta perfectamente la fórmula utilitarista de la mayor felicidad para el mayor número, pues el único modo de maximizar la cantidad total de felicidad de una sociedad es incrementando la felicidad de la mayoría, no solamente la de una minoría y, sobre todo, dada la asimétrica distribución de la felicidad, reduciendo drásticamente la infelicidad de las muchas personas que sufren.</w:t>
      </w:r>
    </w:p>
    <w:p w14:paraId="39EB8F65" w14:textId="77777777" w:rsidR="0000205E" w:rsidRDefault="00A47530" w:rsidP="005D529F">
      <w:pPr>
        <w:rPr>
          <w:rFonts w:cs="Times New Roman"/>
        </w:rPr>
      </w:pPr>
      <w:r w:rsidRPr="005D529F">
        <w:rPr>
          <w:rFonts w:cs="Times New Roman"/>
        </w:rPr>
        <w:t xml:space="preserve">Como hemos visto en el epígrafe anterior, uno de los indicadores más utilizados para medir la desigualdad económica existente en un agregado social, sea un país o cualquier otro agregado, es el porcentaje de población que vive por debajo del umbral de pobreza relativa, habitualmente estimado como el conjunto de personas que cuentan con un nivel de ingresos inferior al 60% de la mediana. De la misma manera, utilizando la distribución social del IBSE en España, podemos calcular ahora el número de personas que viven por debajo del umbral de la infelicidad relativa, es decir, el porcentaje de población que tiene un grado de bienestar socioemocional inferior al 60% de la mediana. La mediana del IBSE en España, en 2006, es 206,94K, y el 60% de la misma equivale al valor 124,17K. Así, sabemos que en 2006 el 6,3% de la población con quince o más años, un total de  2.388.692 españoles, están viviendo por debajo del umbral de la infelicidad. </w:t>
      </w:r>
      <w:r w:rsidRPr="005D529F">
        <w:rPr>
          <w:rFonts w:cs="Times New Roman"/>
        </w:rPr>
        <w:lastRenderedPageBreak/>
        <w:t xml:space="preserve">La felicidad media de los españoles que están por debajo del umbral de la infelicidad es de </w:t>
      </w:r>
      <w:r w:rsidRPr="005D529F">
        <w:rPr>
          <w:rFonts w:cs="Times New Roman"/>
        </w:rPr>
        <w:noBreakHyphen/>
        <w:t xml:space="preserve">108,6 (expresado en valores Celsius), lo que revela hasta qué punto estos individuos viven infelices, es decir, en qué medida están excluidos de la felicidad. Estos españoles tan sólo disfrutan de un 2,86% de la cantidad total de felicidad producida en el país. Si utilizáramos como umbral de la infelicidad el 80% por ciento de la mediana, equivalente a 165,6K, veríamos que un 20,5% de a población española vive por debajo de este umbral, con una media de felicidad equivalente a </w:t>
      </w:r>
      <w:r w:rsidRPr="005D529F">
        <w:rPr>
          <w:rFonts w:cs="Times New Roman"/>
        </w:rPr>
        <w:noBreakHyphen/>
        <w:t>68,5 puntos de bienestar socioemocional (expresado en valores Celsius). Este conjunto de españoles tan solo disfruta del 13,5% de la cantidad total de felicidad que tenemos en el país.</w:t>
      </w:r>
    </w:p>
    <w:p w14:paraId="2F1EB745" w14:textId="77777777" w:rsidR="0000205E" w:rsidRDefault="00A47530" w:rsidP="005D529F">
      <w:pPr>
        <w:rPr>
          <w:rFonts w:cs="Times New Roman"/>
        </w:rPr>
      </w:pPr>
      <w:r w:rsidRPr="005D529F">
        <w:rPr>
          <w:rFonts w:cs="Times New Roman"/>
        </w:rPr>
        <w:t>Si se comparan los indicadores de renta e ingresos con los de felicidad, es evidente que la desigualdad económica resulta ser cuantitativamente mucho mayor que la desigualdad socioemocional. Por ejemplo, hemos calculado que en 2006 un 20,3% de la población española vive por debajo del umbral de la pobreza, mientras que un 6,3% vive por debajo del umbral de felicidad. Hemos estimado que el 10% con mayores ingresos ingresa un 23,7% del total, mientas que el 10% de los más felices disfruta de un 13,6% de la cantidad total de felicidad. De la misma manera, el 10% con menos ingresos solo ingresa el 2,4% del total, mientras que el 10% mas infeliz tan solo disfruta del 5,3% de la felicidad total. Igualmente, el 10% de españoles con ingresos más altos ingresa al menos 4,5 veces más que el 10% más bajo, y el 5% más alto ingresa al menos 7,9 veces más que el 5% por ciento más bajo. En el caso del bienestar emocional, estas ratios son sensiblemente más pequeñas. En concreto, equivalen a 1,8 y a 2,4 veces, respectivamente.</w:t>
      </w:r>
    </w:p>
    <w:p w14:paraId="187BFA63" w14:textId="77777777" w:rsidR="0000205E" w:rsidRDefault="00A47530" w:rsidP="005D529F">
      <w:pPr>
        <w:rPr>
          <w:rFonts w:cs="Times New Roman"/>
        </w:rPr>
      </w:pPr>
      <w:r w:rsidRPr="005D529F">
        <w:rPr>
          <w:rFonts w:cs="Times New Roman"/>
        </w:rPr>
        <w:t>Ahora bien, dado que la naturaleza de la riqueza y la felicidad son muy distintas, casi opuestas, la comparación exclusivamente numérica y cuantitativa de la desigualdad existente en el orden económico y en el orden emocional de una sociedad arroja resultados que pueden llegar a ser bastante engañosos. Ha de tenerse en cuenta que, por ejemplo, mientras que la riqueza, en los sistemas capitalistas, se materializa y objetiva socialmente en la forma dinero, un equivalente general que es acumulable y apropiable, la felicidad se ciñe al ámbito puramente subjetivo de las personas y, por tanto, no es ni apropiable ni acumulable. Mientras que la institución de la propiedad privada posibilita la acumulación individual e, incluso, la extracción y apropiación de la riqueza ajena, resulta algo más complicado apropiarse de la felicidad de los demás. Con todo, ha de tenerse en cuenta que las sociedades distribuyen de alguna manera la felicidad y que, en último término, la felicidad de unos se mantiene merced a la desgracia de otros. Con respecto al tiempo de producción y de consumo, también existenten algunas importantes diferencias entre la riqueza económica y la felicidad: la riqueza producida en un momento del tiempo puede acumularse y ser consumida en el futuro, mientras que la mayor parte de la felicidad se agota en el instante presente. Por último, mientras que la riqueza constituye esencialmente un valor de cambio, la naturaleza de la felicidad se instituye fundamentalmente en tanto valor de uso.</w:t>
      </w:r>
    </w:p>
    <w:p w14:paraId="543DAE9D" w14:textId="77777777" w:rsidR="0000205E" w:rsidRDefault="00A47530" w:rsidP="005D529F">
      <w:pPr>
        <w:rPr>
          <w:rFonts w:cs="Times New Roman"/>
        </w:rPr>
      </w:pPr>
      <w:r w:rsidRPr="005D529F">
        <w:rPr>
          <w:rFonts w:cs="Times New Roman"/>
        </w:rPr>
        <w:t xml:space="preserve">Así se comprende que la desigualdad económica, en ingresos y sobre todo en patrimonio, sea en términos cuantitativos bastante más elevada que la desigualdad emocional. En </w:t>
      </w:r>
      <w:r w:rsidRPr="005D529F">
        <w:rPr>
          <w:rFonts w:cs="Times New Roman"/>
        </w:rPr>
        <w:lastRenderedPageBreak/>
        <w:t xml:space="preserve">principio, la cantidad de felicidad socioemocional medida por el IBSE sería análoga a la cantidad de dinero que una persona ingresa día a día y, en este sentido, las desigualdades de ingresos podrían ser más comparables a las desigualdades de felicidad. Sin embargo, sucede que los ingresos no solo incluyen rentas procedentes del trabajo de una persona, sino también rentas que obtiene de su patrimonio y de su capital. Teniendo esto en cuenta, diríamos que el nivel de felicidad tan solo sería homóloga, y en parte comparable con, el valor económico del consumo material que una persona tiene día a día. Por tanto, solamente las desigualdades en cuanto al valor monetario del consumo diario personal medio podrían ser comparables a las desigualdades de felicidad estimadas con los datos aportados por el Índice de Bienestar Socioemocional (IBSE). </w:t>
      </w:r>
    </w:p>
    <w:p w14:paraId="71F399FE" w14:textId="6F0224F3" w:rsidR="00A47530" w:rsidRPr="005D529F" w:rsidRDefault="00A47530" w:rsidP="005D529F">
      <w:pPr>
        <w:rPr>
          <w:rFonts w:cs="Times New Roman"/>
        </w:rPr>
      </w:pPr>
      <w:r w:rsidRPr="005D529F">
        <w:rPr>
          <w:rFonts w:cs="Times New Roman"/>
        </w:rPr>
        <w:t>En cualquier caso, lo esencial a la hora de interpretar, entender y comparar las desigualdades de dinero y de bienestar emocional, es comprender que las diferencias de felicidad entre las personas nos muestra una desigualdad humana absoluta y pura, enfrentándonos al hecho incontestable de que mientras unas personas viven alegres, contentas, felices, orgullosas, disfrutando de la vida, tranquilas y confiadas, otras viven sumidas en la depresión, profundamente tristes, sintiéndose solas, infelices, sin disfrutar de la vida, pesimistas, con una escasa autoestima, estresadas y temerosas. Mientras que algunos pensadores y científicos argumentan que la desigualdad económica tiene algunas consecuencias funcionales positivas para el sistema social, otros nos alertan de los múltiples y graves peligros que entraña esta desigualdad. Ahora bien, en el caso de la desigualdad emocional no cabe debate ni discusión. Porque, ¿cuál sería el bien de la desgracia y de la infelicidad? ¿qué beneficios podríamos esperar de que unos seres humanos sean felices y otros desgraciados?</w:t>
      </w:r>
    </w:p>
    <w:p w14:paraId="321580AB" w14:textId="77777777" w:rsidR="0000205E" w:rsidRDefault="00A47530" w:rsidP="005D529F">
      <w:pPr>
        <w:rPr>
          <w:rFonts w:cs="Times New Roman"/>
          <w:lang w:val="es-ES"/>
        </w:rPr>
      </w:pPr>
      <w:r w:rsidRPr="005D529F">
        <w:rPr>
          <w:rFonts w:cs="Times New Roman"/>
          <w:lang w:val="es-ES"/>
        </w:rPr>
        <w:t>Hemos visto que las personas más felices, que forman parte del cinco por ciento de afortunados, obtienen en el IBSE al menos una puntuación superior a 70,3 (media = 81,9). Por el contrario, la puntuación del cinco por ciento de personas más infelices es en cualquier caso inferior a -85,1 (media = -116,1). Sabemos, e iremos viendo a lo largo de este trabajo de investigación, que el contraste entre los estados emocionales de unos y otros es fabuloso. Estos últimos están excluidos de la felicidad, del bienestar emocional y del buen ánimo en una sociedad moderna que inició su andadura con la promesa, expresada por Jeremy Bentham, de alcanzar la mayor felicidad para el mayor número. Quizás esta sociedad haya logrado hacer feliz a algunos, e incluso a muchos, pero evidentemente no a todos. Los datos aportados nos asoman al abismo de aquellos españoles que sufren en el seno de una sociedad supuestamente rica y de la abundancia, mostrándonos sin lugar a dudas la persistencia del sufrimiento humano incluso en sociedades cultural, material y tecnológicamente hiper-desarrolladas.</w:t>
      </w:r>
    </w:p>
    <w:p w14:paraId="651082C0" w14:textId="77777777" w:rsidR="0005771B" w:rsidRDefault="0005771B" w:rsidP="005D529F">
      <w:pPr>
        <w:rPr>
          <w:rFonts w:cs="Times New Roman"/>
        </w:rPr>
      </w:pPr>
    </w:p>
    <w:p w14:paraId="5EB178FD" w14:textId="77777777" w:rsidR="0000205E" w:rsidRDefault="00BE3586" w:rsidP="000027A0">
      <w:pPr>
        <w:pStyle w:val="Ttulo2"/>
      </w:pPr>
      <w:bookmarkStart w:id="70" w:name="_Toc311991804"/>
      <w:bookmarkStart w:id="71" w:name="_Toc311993033"/>
      <w:r w:rsidRPr="005D529F">
        <w:lastRenderedPageBreak/>
        <w:t>4.4</w:t>
      </w:r>
      <w:r w:rsidR="00A47530" w:rsidRPr="005D529F">
        <w:t xml:space="preserve"> </w:t>
      </w:r>
      <w:r w:rsidRPr="005D529F">
        <w:t xml:space="preserve"> </w:t>
      </w:r>
      <w:r w:rsidR="00A47530" w:rsidRPr="005D529F">
        <w:t>Tipología del bienestar  y del malestar emociona</w:t>
      </w:r>
      <w:r w:rsidRPr="005D529F">
        <w:t>l</w:t>
      </w:r>
      <w:bookmarkEnd w:id="70"/>
      <w:bookmarkEnd w:id="71"/>
    </w:p>
    <w:p w14:paraId="6EBA8C8E" w14:textId="4C85974D" w:rsidR="0000205E" w:rsidRDefault="0005771B" w:rsidP="005D529F">
      <w:pPr>
        <w:rPr>
          <w:rFonts w:cs="Times New Roman"/>
        </w:rPr>
      </w:pPr>
      <w:r w:rsidRPr="005D529F">
        <w:rPr>
          <w:rFonts w:cs="Times New Roman"/>
          <w:noProof/>
          <w:lang w:val="es-ES"/>
        </w:rPr>
        <w:drawing>
          <wp:anchor distT="0" distB="0" distL="114300" distR="114300" simplePos="0" relativeHeight="251671552" behindDoc="0" locked="0" layoutInCell="1" allowOverlap="1" wp14:anchorId="068F4DCD" wp14:editId="466250C4">
            <wp:simplePos x="0" y="0"/>
            <wp:positionH relativeFrom="column">
              <wp:posOffset>0</wp:posOffset>
            </wp:positionH>
            <wp:positionV relativeFrom="paragraph">
              <wp:posOffset>1260475</wp:posOffset>
            </wp:positionV>
            <wp:extent cx="3200400" cy="674497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4.1.pdf"/>
                    <pic:cNvPicPr/>
                  </pic:nvPicPr>
                  <pic:blipFill rotWithShape="1">
                    <a:blip r:embed="rId25">
                      <a:extLst>
                        <a:ext uri="{28A0092B-C50C-407E-A947-70E740481C1C}">
                          <a14:useLocalDpi xmlns:a14="http://schemas.microsoft.com/office/drawing/2010/main" val="0"/>
                        </a:ext>
                      </a:extLst>
                    </a:blip>
                    <a:srcRect l="13344" t="9428" r="35972" b="15086"/>
                    <a:stretch/>
                  </pic:blipFill>
                  <pic:spPr bwMode="auto">
                    <a:xfrm>
                      <a:off x="0" y="0"/>
                      <a:ext cx="3200400" cy="67449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47530" w:rsidRPr="005D529F">
        <w:rPr>
          <w:rFonts w:cs="Times New Roman"/>
        </w:rPr>
        <w:t>El Índice de Bienestar Socioemocional (IBSE) es, como hemos visto, una variable cuantitativa continua que resume en un único valor o puntuación el estado general de bienestar o malestar que experimenta cada individuo. En el epígrafe anterior, con el fin de ofrecer indicadores de desigualdad emocional análogos a los utilizados para cuantificar la desigualdad económica, realizamos unos cortes meramente estadísticos de la distribución utilizando algunos percentiles y deciles. Sin embargo, estos cortes son puramente convencionales, y no sirven para clasificar y agrupar convenientemente a los individuos que experimentan unas vivencias emocionales similares. Teniendo en cuenta los estados emocionales de los individuos, y tras realizar un exploración de los datos aplicando el Análisis de Conglomerados K-medias a la muestra europea del año 2006, se ha optado por un modelo de clasificación que clasifica a las personas en cinco tipos: Felices, Contentos, Satisfechos, no satisfechos y No felices.</w:t>
      </w:r>
    </w:p>
    <w:p w14:paraId="2822AEFB" w14:textId="520CB4EC" w:rsidR="0000205E" w:rsidRDefault="00A47530" w:rsidP="005D529F">
      <w:pPr>
        <w:rPr>
          <w:rFonts w:cs="Times New Roman"/>
        </w:rPr>
      </w:pPr>
      <w:r w:rsidRPr="005D529F">
        <w:rPr>
          <w:rFonts w:cs="Times New Roman"/>
        </w:rPr>
        <w:t xml:space="preserve">Con el objeto de conocer las vivencias emocionales características de estos cinco tipos, la Tabla 4.1 incluye las respuestas que los españoles pertenecientes a cada uno de ellos han dado a las nueve preguntas con la que se ha calculado el IBSE en el muestra fusionada de las oleadas de 2006 y 2012 de la Encuesta Social Europea (ESS 2006+2012). El lector puede comprobar por sí mismo los diferentes estados emocionales que experimentan los españoles felices o infelices, los españoles </w:t>
      </w:r>
      <w:r w:rsidRPr="005D529F">
        <w:rPr>
          <w:rFonts w:cs="Times New Roman"/>
        </w:rPr>
        <w:lastRenderedPageBreak/>
        <w:t>que están contentos con su vida, o los que están satisfechos o insatisfechos. Por ejemplo, mientras que el 86,9% de los españoles felices respondieron que ellos nunca se sentían tristes, prácticamente la totalidad de los infelices conocen la tristeza. Tres de cada cuatro personas no felices (72,9%) se sienten tristes buena parte, casi todo o todo el tiempo. De las diferencias que pueden observarse entre los españoles felices y los contentos, e puede destacar, a modo de ejemplo, las existentes en los estados emocionales de felicidad y de disfrute en la vida. Entre los españoles que pertenecen al tipo de personas felices, un 84,8% se sienten felices siempre, y un 74,4% disfrutan de la vida siempre. Entre los contentos, sin embargo, encontramos que estos porcentajes descienden, respectivamente, al 37,4% y al 22,9%. El tipo de españoles satisfechos ofrecen una estructura de estados emocionales intermedia, en la que no existen sufrimientos o penas, pero tampoco grandes alegrías. Ahora bien, una vez que nos adentramos en el ámbito de las personas insatisfechas con la vida, y más aún en el ámbito de la infelicidad, los estados emocionales más frecuentes comienzan a ser, sin ningún género de dudas, extremadamente negativos. Entre los españoles infelices, el 96,3% nunca, o solo en algún momento, se siente rebosante de energía; el 94,4% nunca, o solo en algún momento, se siente feliz; el 93,7% nunca, o solo en algún momento, disfruta de la vida; el 93,6% nunca, o solo en algún momento, está tranquilo y relajado; el 81,9% es más bien pesimista o muy pesimista; el 72,9% está la mayor parte del tiempo triste; un 68,6% está la mayor parte del tiempo triste; el 67,7% no se siente bien consigo mismo; y el 39,4% se siente bastante solo.</w:t>
      </w:r>
    </w:p>
    <w:p w14:paraId="669B94EE" w14:textId="77777777" w:rsidR="0000205E" w:rsidRDefault="00A47530" w:rsidP="005D529F">
      <w:pPr>
        <w:rPr>
          <w:rFonts w:cs="Times New Roman"/>
          <w:lang w:val="es-ES"/>
        </w:rPr>
      </w:pPr>
      <w:r w:rsidRPr="005D529F">
        <w:rPr>
          <w:rFonts w:cs="Times New Roman"/>
          <w:lang w:val="es-ES"/>
        </w:rPr>
        <w:t>En este momento conviene precisar que la complejidad de la estructura de vivencias emocionales que caracteriza a los seres humanos, explica el hecho de que los tipos de bienestar emocional no sean, por decirlo de alguna manera, químicamente puros. Por otra parte, es necesario advertir que esta falta de correspondencia también se debe al hecho de que el Análisis de Factor Común no configura la medida de la felicidad o infelicidad utilizando la respuesta dada a cada una de las preguntas, consideradas independientemente, sino extrayendo algunos factores subyacentes de la combinación de respuestas que cada entrevistado ofrece a todo el conjunto de preguntas. En este sentido, los datos de la Tabla 4.1. ilustran la tipología realizada, pero no son capaces de ofrecer una imagen cuantitativamente precisa y válida del grado de bienestar socioemocional que corresponde a cada uno de los cinco tipos. Para conformar esta imagen es preciso conocer la puntuación media de cada tipo tanto en el Índice de Bienestar Socioemocional (IBSE), así como en los cuatro factores o dimensiones de la felicidad que lo componen. Esta es la información incluida la Tabla 4.2.</w:t>
      </w:r>
    </w:p>
    <w:p w14:paraId="0D3EE426" w14:textId="77777777" w:rsidR="0000205E" w:rsidRDefault="00A47530" w:rsidP="005D529F">
      <w:pPr>
        <w:rPr>
          <w:rFonts w:cs="Times New Roman"/>
        </w:rPr>
      </w:pPr>
      <w:r w:rsidRPr="005D529F">
        <w:rPr>
          <w:rFonts w:cs="Times New Roman"/>
        </w:rPr>
        <w:t xml:space="preserve">Observando los valores generales del IBSE (Felicidad), incluidos en la columna de la izquierda de la Tabla 4.2, tendremos una idea exacta del nivel medio de bienestar socioemocional de cada uno de los tipos. Asimismo, localizando las puntuaciones medias IBSE de las personas felices (62,6), contentas (25,5), satisfechas (-11,5), no satisfechas (-53,1) y no felices (-106,2), en la escala de grados Celsius representada en el Gráfico 4.1, podremos tener una idea de la posición de cada uno de estos cinco tipos en la estratificación social de la felicidad. Ahora bien, dado que, como ya sabemos, una buena </w:t>
      </w:r>
      <w:r w:rsidRPr="005D529F">
        <w:rPr>
          <w:rFonts w:cs="Times New Roman"/>
        </w:rPr>
        <w:lastRenderedPageBreak/>
        <w:t xml:space="preserve">parte de la población declara sentirse feliz, a la hora de interpretar estos datos es necesario tener en cuenta que el valor “0” del IBSE se corresponde con la medida de felicidad e la población europea. Y esto implica que todos los valores negativos del IBSE han de interpretarse como grados de infelicidad inferiores a la media, aunque no todos deben interpretarse como estados afectivos de insatisfacción vital o de infelicidad. Conviene, por tanto, ofrecer ya unas referencias para poder interpretar correctamente los datos que se irán ofreciendo a lo largo de los capítulos de este libro. Cuando la puntuación media de un colectivo se encuentre en torno o por debajo del valor </w:t>
      </w:r>
      <w:r w:rsidRPr="005D529F">
        <w:rPr>
          <w:rFonts w:cs="Times New Roman"/>
        </w:rPr>
        <w:noBreakHyphen/>
        <w:t xml:space="preserve">40, en la escala IBSE, podremos asegurar que su estructura afectiva estará caracteriza por  la “insatisfacción” vital. En el caso de que la puntuación descienda en torno o por debajo del valor </w:t>
      </w:r>
      <w:r w:rsidRPr="005D529F">
        <w:rPr>
          <w:rFonts w:cs="Times New Roman"/>
        </w:rPr>
        <w:noBreakHyphen/>
        <w:t xml:space="preserve">75, en la escala IBSE, entonces sabremos que estará caracterizada por una neta o pura “infelicidad”. </w:t>
      </w:r>
    </w:p>
    <w:p w14:paraId="514DB1D8" w14:textId="4C80D919" w:rsidR="000027A0" w:rsidRDefault="00C86A25" w:rsidP="005D529F">
      <w:pPr>
        <w:rPr>
          <w:rFonts w:cs="Times New Roman"/>
        </w:rPr>
      </w:pPr>
      <w:r w:rsidRPr="005D529F">
        <w:rPr>
          <w:noProof/>
          <w:lang w:val="es-ES"/>
        </w:rPr>
        <w:drawing>
          <wp:anchor distT="0" distB="0" distL="114300" distR="114300" simplePos="0" relativeHeight="251672576" behindDoc="0" locked="0" layoutInCell="1" allowOverlap="1" wp14:anchorId="4EB1ACEB" wp14:editId="061562D6">
            <wp:simplePos x="0" y="0"/>
            <wp:positionH relativeFrom="column">
              <wp:posOffset>342900</wp:posOffset>
            </wp:positionH>
            <wp:positionV relativeFrom="paragraph">
              <wp:posOffset>203200</wp:posOffset>
            </wp:positionV>
            <wp:extent cx="4690110" cy="228600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4.2 corregida.pdf"/>
                    <pic:cNvPicPr/>
                  </pic:nvPicPr>
                  <pic:blipFill rotWithShape="1">
                    <a:blip r:embed="rId26">
                      <a:extLst>
                        <a:ext uri="{28A0092B-C50C-407E-A947-70E740481C1C}">
                          <a14:useLocalDpi xmlns:a14="http://schemas.microsoft.com/office/drawing/2010/main" val="0"/>
                        </a:ext>
                      </a:extLst>
                    </a:blip>
                    <a:srcRect l="18015" t="10374" r="15841" b="66848"/>
                    <a:stretch/>
                  </pic:blipFill>
                  <pic:spPr bwMode="auto">
                    <a:xfrm>
                      <a:off x="0" y="0"/>
                      <a:ext cx="4690110" cy="2286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D56765A" w14:textId="5AFD8FC2" w:rsidR="001E622A" w:rsidRDefault="001E622A" w:rsidP="005D529F">
      <w:pPr>
        <w:rPr>
          <w:rFonts w:cs="Times New Roman"/>
        </w:rPr>
      </w:pPr>
    </w:p>
    <w:p w14:paraId="1DE38089" w14:textId="3EBE6188" w:rsidR="0000205E" w:rsidRDefault="0000205E" w:rsidP="005D529F">
      <w:pPr>
        <w:rPr>
          <w:rFonts w:cs="Times New Roman"/>
        </w:rPr>
      </w:pPr>
    </w:p>
    <w:p w14:paraId="3BC6CCA1" w14:textId="77777777" w:rsidR="0000205E" w:rsidRDefault="0000205E" w:rsidP="005D529F">
      <w:pPr>
        <w:rPr>
          <w:rFonts w:cs="Times New Roman"/>
        </w:rPr>
      </w:pPr>
    </w:p>
    <w:p w14:paraId="54A5138E" w14:textId="77777777" w:rsidR="0000205E" w:rsidRDefault="0000205E" w:rsidP="005D529F">
      <w:pPr>
        <w:rPr>
          <w:rFonts w:cs="Times New Roman"/>
        </w:rPr>
      </w:pPr>
    </w:p>
    <w:p w14:paraId="5BEC0AF9" w14:textId="77777777" w:rsidR="0000205E" w:rsidRDefault="0000205E" w:rsidP="005D529F">
      <w:pPr>
        <w:rPr>
          <w:rFonts w:cs="Times New Roman"/>
        </w:rPr>
      </w:pPr>
    </w:p>
    <w:p w14:paraId="1A0A408F" w14:textId="77777777" w:rsidR="000027A0" w:rsidRDefault="000027A0" w:rsidP="005D529F">
      <w:pPr>
        <w:rPr>
          <w:rFonts w:cs="Times New Roman"/>
        </w:rPr>
      </w:pPr>
    </w:p>
    <w:p w14:paraId="165B5F1B" w14:textId="77777777" w:rsidR="000027A0" w:rsidRDefault="000027A0" w:rsidP="005D529F">
      <w:pPr>
        <w:rPr>
          <w:rFonts w:cs="Times New Roman"/>
        </w:rPr>
      </w:pPr>
    </w:p>
    <w:p w14:paraId="4A5C4847" w14:textId="77777777" w:rsidR="000027A0" w:rsidRDefault="000027A0" w:rsidP="005D529F">
      <w:pPr>
        <w:rPr>
          <w:rFonts w:cs="Times New Roman"/>
        </w:rPr>
      </w:pPr>
    </w:p>
    <w:p w14:paraId="690728D8" w14:textId="77777777" w:rsidR="001E622A" w:rsidRDefault="001E622A" w:rsidP="005D529F">
      <w:pPr>
        <w:rPr>
          <w:rFonts w:cs="Times New Roman"/>
        </w:rPr>
      </w:pPr>
    </w:p>
    <w:p w14:paraId="540CB3BD" w14:textId="77777777" w:rsidR="0000205E" w:rsidRDefault="00A47530" w:rsidP="005D529F">
      <w:pPr>
        <w:rPr>
          <w:rFonts w:cs="Times New Roman"/>
        </w:rPr>
      </w:pPr>
      <w:r w:rsidRPr="005D529F">
        <w:rPr>
          <w:rFonts w:cs="Times New Roman"/>
        </w:rPr>
        <w:t xml:space="preserve">También requiere una atenta consideración la combinación de valores de los cuatro factores que se da en cada uno de los tipos. Así, entre los “felices”, que tienen una media general de 62,6, la dimensión que más destaca es la de situación, que alcanza un valor máximo de 84,5. A diferencia de las personas felices, el valor medio de las que pertenecen al tipo “contentas” muestran una reducción muy importante, de 61,7 puntos, en este factor. Ambos tipos tienen una puntuación similar, positiva pero no excesivamente alta, en la dimensión de estatus, pero las puntuaciones de los felices en el factor “persona” y en el de “poder”  son superiores a las de las personas que están contentas. Comparando, ahora, las personas “no satisfechas” con las “no felices”, observaremos que estas últimas se destacan por tener un nivel excepcionalmente bajo del factor estatus, que desciende hasta una media de </w:t>
      </w:r>
      <w:r w:rsidRPr="005D529F">
        <w:rPr>
          <w:rFonts w:cs="Times New Roman"/>
        </w:rPr>
        <w:noBreakHyphen/>
        <w:t xml:space="preserve">174,1. La diferencia con respeto a las personas insatisfechas es astronómica,  y equivale exactamente a 107,3 puntos. Con sabemos, el factor estatus, que determina el ánimo general de las personas, está muy vinculado a la cantidad y calidad de nuestras relaciones sociales. Y esto significa que un grave deterioro de la sociabilidad del sujeto es la mejor garantía y la senda más directa </w:t>
      </w:r>
      <w:r w:rsidRPr="005D529F">
        <w:rPr>
          <w:rFonts w:cs="Times New Roman"/>
        </w:rPr>
        <w:lastRenderedPageBreak/>
        <w:t xml:space="preserve">que puede tomar el ser humano para llegar a la máxima infelicidad. La segunda diferencia que destaca al comparar las personas insatisfechas y las infelices, es el importante descenso que experimentan estas últimas en el factor de autoestima, que desciende 65,0 puntos, desde </w:t>
      </w:r>
      <w:r w:rsidRPr="005D529F">
        <w:rPr>
          <w:rFonts w:cs="Times New Roman"/>
        </w:rPr>
        <w:noBreakHyphen/>
        <w:t xml:space="preserve">24,8 hasta </w:t>
      </w:r>
      <w:r w:rsidRPr="005D529F">
        <w:rPr>
          <w:rFonts w:cs="Times New Roman"/>
        </w:rPr>
        <w:noBreakHyphen/>
        <w:t>89,8. Y esto significa que cuando el ser humano se enfrenta a las condiciones más extremas, el último reducto de la felicidad es la fortaleza y la entereza del propio “yo”.</w:t>
      </w:r>
    </w:p>
    <w:p w14:paraId="00E7A53C" w14:textId="77777777" w:rsidR="0000205E" w:rsidRDefault="00A47530" w:rsidP="005D529F">
      <w:pPr>
        <w:rPr>
          <w:rFonts w:cs="Times New Roman"/>
        </w:rPr>
      </w:pPr>
      <w:r w:rsidRPr="005D529F">
        <w:rPr>
          <w:noProof/>
          <w:lang w:val="es-ES"/>
        </w:rPr>
        <w:drawing>
          <wp:anchor distT="0" distB="0" distL="114300" distR="114300" simplePos="0" relativeHeight="251673600" behindDoc="0" locked="0" layoutInCell="1" allowOverlap="1" wp14:anchorId="67D7DEED" wp14:editId="35935DA1">
            <wp:simplePos x="0" y="0"/>
            <wp:positionH relativeFrom="column">
              <wp:posOffset>-635</wp:posOffset>
            </wp:positionH>
            <wp:positionV relativeFrom="paragraph">
              <wp:posOffset>1460500</wp:posOffset>
            </wp:positionV>
            <wp:extent cx="3714750" cy="251460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4.3.pdf"/>
                    <pic:cNvPicPr/>
                  </pic:nvPicPr>
                  <pic:blipFill rotWithShape="1">
                    <a:blip r:embed="rId27">
                      <a:extLst>
                        <a:ext uri="{28A0092B-C50C-407E-A947-70E740481C1C}">
                          <a14:useLocalDpi xmlns:a14="http://schemas.microsoft.com/office/drawing/2010/main" val="0"/>
                        </a:ext>
                      </a:extLst>
                    </a:blip>
                    <a:srcRect l="16677" t="16500" r="37790" b="61718"/>
                    <a:stretch/>
                  </pic:blipFill>
                  <pic:spPr bwMode="auto">
                    <a:xfrm>
                      <a:off x="0" y="0"/>
                      <a:ext cx="3714750" cy="25146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D529F">
        <w:rPr>
          <w:rFonts w:cs="Times New Roman"/>
        </w:rPr>
        <w:t xml:space="preserve">El conocimiento de estos cinco tipos de vivencias emocionales vinculadas a diferentes estados de bienestar o de malestar es importante porque, en varios momentos a lo largo de esta investigación, hacemos uso de la tipología para desarrollar análisis más  detallados de la estratificación social de la felicidad existente en España y en Europa. Pero, por ahora, respondamos la pregunta más básica y fundamental: ¿Cuantos españoles viven excluidos de la felicidad? La Tabla 4.3 incluye los porcentajes de personas felices, contentas, satisfechas, no satisfechas y no felices existentes en España y en Europa, tanto en 2006 como en 2012. Según la estimación realizada, puede afirmarse que en 2012 el 9,0% de la población española está sumida la mayor parte de su tiempo en una vivencia emocional que sin duda alguna puede calificarse de plena o neta infelicidad. Es decir, en 2012 viven en España 3.618.233 personas infelices, personas excluidas de la felicidad que, como hemos visto, han de enfrentarse la mayor parte del tiempo a la tristeza y a la depresión, al pesimismo y a la falta de vitalidad, a la inquietud emocional y a la ansiedad, viviendo a duras penas sin gozar de la vida, y sintiéndose muy poco orgullosos de sí mismos. De acuerdo con estos datos, es muy evidente que la exclusión de la felicidad constituye un gran problema social y, en tanto tal, un problema que la sociedad española debe resolver diseñando políticas adecuadas, y poniendo los medios necesarios, para lograr cuanto antes una importante reducción del número de personas que sufren un profundo malestar emocional. </w:t>
      </w:r>
    </w:p>
    <w:p w14:paraId="4FE794D5" w14:textId="065834A0" w:rsidR="001219D9" w:rsidRDefault="00A47530" w:rsidP="005D529F">
      <w:pPr>
        <w:rPr>
          <w:rFonts w:cs="Times New Roman"/>
        </w:rPr>
      </w:pPr>
      <w:r w:rsidRPr="005D529F">
        <w:rPr>
          <w:rFonts w:cs="Times New Roman"/>
        </w:rPr>
        <w:t xml:space="preserve">Con la información contenida en la tabla se pueden extraer otras importantes conclusiones, de las que tan solo destacaremos dos. En primer lugar, es evidente que la crisis económica en España ha incrementado substancialmente este problema social. En España, el porcentaje de personas que viven situaciones de malestar emocional, es decir, personas que no viven satisfechas ni felices, ha subido desde el 18,7% en 2006 hasta el 25,4% en 2012, registrando así una tasa de incremento del malestar emocional del 35,8%. Dicho de otro modo, en 2012, más uno de cada cuatro españoles, un total de </w:t>
      </w:r>
      <w:r w:rsidRPr="005D529F">
        <w:rPr>
          <w:rFonts w:cs="Times New Roman"/>
        </w:rPr>
        <w:lastRenderedPageBreak/>
        <w:t>10.211.459 personas, viven insatisfechas o infelices. En segundo lugar, es evidente que el bienestar emocional que disfrutan los españoles en 2012 es sensiblemente menor al que disfrutan los europeos. La información contenida en la Tabla 4.3 demuestra que, en 2012, el porcentaje de personas felices o contentas en España (40,8%) es bastante menor que en Europa (51,9%); al contario, el porcentaje de personas insatisfechas o infelices en España (25,4%) es bastante mayor que el de Europa (18,0%).</w:t>
      </w:r>
    </w:p>
    <w:p w14:paraId="2D97B1B8" w14:textId="77777777" w:rsidR="001E622A" w:rsidRDefault="001E622A" w:rsidP="005D529F">
      <w:pPr>
        <w:rPr>
          <w:rFonts w:cs="Times New Roman"/>
        </w:rPr>
      </w:pPr>
    </w:p>
    <w:p w14:paraId="4F523438" w14:textId="77777777" w:rsidR="001E622A" w:rsidRDefault="001E622A" w:rsidP="005D529F">
      <w:pPr>
        <w:rPr>
          <w:rFonts w:cs="Times New Roman"/>
        </w:rPr>
        <w:sectPr w:rsidR="001E622A" w:rsidSect="00A655B0">
          <w:headerReference w:type="default" r:id="rId28"/>
          <w:pgSz w:w="11900" w:h="16840"/>
          <w:pgMar w:top="2041" w:right="1814" w:bottom="1758" w:left="1814" w:header="709" w:footer="709" w:gutter="0"/>
          <w:pgNumType w:start="52"/>
          <w:cols w:space="708"/>
          <w:titlePg/>
          <w:docGrid w:linePitch="360"/>
        </w:sectPr>
      </w:pPr>
    </w:p>
    <w:p w14:paraId="438B5A51" w14:textId="77777777" w:rsidR="0000205E" w:rsidRDefault="00E257D9" w:rsidP="001E622A">
      <w:pPr>
        <w:pStyle w:val="Ttulo1"/>
      </w:pPr>
      <w:bookmarkStart w:id="72" w:name="_Toc311991805"/>
      <w:bookmarkStart w:id="73" w:name="_Toc311993034"/>
      <w:bookmarkStart w:id="74" w:name="_Toc311998417"/>
      <w:r w:rsidRPr="005D529F">
        <w:lastRenderedPageBreak/>
        <w:t>5  Catástrofes personales</w:t>
      </w:r>
      <w:bookmarkEnd w:id="72"/>
      <w:bookmarkEnd w:id="73"/>
      <w:bookmarkEnd w:id="74"/>
    </w:p>
    <w:p w14:paraId="4FC6A03E" w14:textId="77777777" w:rsidR="0000205E" w:rsidRDefault="00E257D9" w:rsidP="001E622A">
      <w:pPr>
        <w:pStyle w:val="Ttulo2"/>
      </w:pPr>
      <w:bookmarkStart w:id="75" w:name="_Toc311991806"/>
      <w:bookmarkStart w:id="76" w:name="_Toc311993035"/>
      <w:r w:rsidRPr="005D529F">
        <w:t>5.1  La estructura afectiva de la vida cotidiana</w:t>
      </w:r>
      <w:bookmarkEnd w:id="75"/>
      <w:bookmarkEnd w:id="76"/>
    </w:p>
    <w:p w14:paraId="61D0DE1F" w14:textId="77777777" w:rsidR="0000205E" w:rsidRDefault="00E257D9" w:rsidP="005D529F">
      <w:pPr>
        <w:rPr>
          <w:rFonts w:cs="Times New Roman"/>
        </w:rPr>
      </w:pPr>
      <w:r w:rsidRPr="005D529F">
        <w:rPr>
          <w:rFonts w:cs="Times New Roman"/>
        </w:rPr>
        <w:t xml:space="preserve">La dinámica emocional de los seres humanos es en algunos momentos absolutamente tumultuosa, y en otros se asemeja más a las tranquilas aguas de un estanque. En cualquier caso, el incesante fluir de las emociones constituye un río heracliteano en el que resulta imposible bañarse dos veces. Los afectos, los sentimientos y las pasiones cambian continuamente, evolucionan sin cesar, se transforman y se trasmutan, ganan o pierden intensidad, reaparecen con insistencia perpetuándose en el tiempo o desaparecen de una vez para siempre y como por encanto. Los seres humanos no pueden dejar de sentir, y experimentan en cada situación y momento un amplísimo conjunto de muy diversas emociones, con una tremenda variedad de matices, fuerzas y temporalidades. Así sucede también con la felicidad y el sufrimiento. En algunos momentos de la vida nos sentimos exultantes y excepcionalmente dichosos, mientras que en otros podemos llegar a considerarnos las personas más desdichadas del mundo. Pequeñas alteraciones en el foco perceptivo, en la medida que cambian el objeto que desempeña el protagonismo en el espacio de nuestra atención vital, modifican las emociones que podamos estar experimentando en ese preciso momento, cambiando incluso radicalmente nuestro humor. Nos entristecemos recordando al familiar fallecido, nos alegramos instantáneamente al contemplar la sonrisa de un niño, sentimos horror al presenciar un trágico accidente de coche, y paladearemos de nuevo la dulce emoción del orgullo si resulta que alguien se interesa sinceramente por nuestra última satisfacción o logro. </w:t>
      </w:r>
    </w:p>
    <w:p w14:paraId="2D3B3BD5" w14:textId="77777777" w:rsidR="0000205E" w:rsidRDefault="00E257D9" w:rsidP="005D529F">
      <w:pPr>
        <w:rPr>
          <w:rFonts w:cs="Times New Roman"/>
        </w:rPr>
      </w:pPr>
      <w:r w:rsidRPr="005D529F">
        <w:rPr>
          <w:rFonts w:cs="Times New Roman"/>
        </w:rPr>
        <w:t xml:space="preserve">Ahora bien, más allá del continuo fluir de los sentimientos y de los sucesivos altibajos emocionales provocados por las múltiples dichas y desdichas que experimentamos en el transcurso de nuestra vida cotidiana, puede afirmarse que el grado de felicidad o de bienestar emocional de los seres humanos es una magnitud bastante estable, es decir, que se mantiene aproximadamente constante al menos durante determinados períodos de tiempo. En este sentido, la cantidad de felicidad de una persona sería la contenida en una especie de embalse cuyo nivel estaría regulado por los caudales de alegrías y penas que poco a poco lo van llenando o vaciando. Las alegrías cotidianas, el reconocimiento de los demás, las pequeñas hazañas, los grandes logros, los detalles de amor y los compromisos afectivos, la ternura, las diversiones, o los momentos en los que nos sentimos pletóricos al experimentar intensamente el sentido de la vida, producen aportes que mantienen o incrementan nuestro nivel de felicidad. Al contrario, las penas cotidianas, los grandes problemas, los dramas y las tragedias, el rechazo social, las faltas de afecto, el aburrimiento o los pequeños fracasos, desaguan el embalse haciendo que descienda nuestro grado estructural de felicidad. Dado que habitualmente nuestra vida cotidiana es bastante estable, las fuentes de nuestras alegrías y penas también lo son, lo </w:t>
      </w:r>
      <w:r w:rsidRPr="005D529F">
        <w:rPr>
          <w:rFonts w:cs="Times New Roman"/>
        </w:rPr>
        <w:lastRenderedPageBreak/>
        <w:t>que explica que el nivel de felicidad o bienestar emocional se mantenga aproximadamente constante. El grado de felicidad es el resultado del balance o equilibrio dinámico que, dados los parámetros que caracterizan la vida cotidiana de una persona, establecen habitualmente los factores que le provocan las alegrías y las penas, las dichas y las desdichas, las venturas y las desventuras.</w:t>
      </w:r>
    </w:p>
    <w:p w14:paraId="6168085E" w14:textId="77777777" w:rsidR="0000205E" w:rsidRDefault="00E257D9" w:rsidP="005D529F">
      <w:pPr>
        <w:rPr>
          <w:rFonts w:cs="Times New Roman"/>
        </w:rPr>
      </w:pPr>
      <w:r w:rsidRPr="005D529F">
        <w:rPr>
          <w:rFonts w:cs="Times New Roman"/>
        </w:rPr>
        <w:t>En este momento es importante distinguir entre emociones, estados emocionales y estructuras afectivas o emocionales. Las emociones son las vivencias afectivas que experimentan los sujetos de modo puntual, en cada preciso momento y contexto de su existencia. Los estados emocionales de una persona serían los sentimientos o afectos que, en general, predominan en sus experiencias vitales. De ahí que la Encuesta Social Europea pregunte a los entrevistados con qué frecuencia se han sentido tristes, tranquilos, deprimidos o felices durante la última semana. Por último, la estructura afectiva o emocional de una persona es el conjunto de estados emocionales característicos de su situación general de vida. En verdad, nuestro interés por saber el grado de bienestar emocional de una persona no estriba en el interés que pueda tener conocer una emoción, o un estado emocional, sea la felicidad o cualquier otro, sino por saber cual es, en general, la estructura afectiva de su vida. Creemos que este conocimiento tiene un verdadero interés tanto sociológico como humano.</w:t>
      </w:r>
    </w:p>
    <w:p w14:paraId="394A3A30" w14:textId="77777777" w:rsidR="0000205E" w:rsidRDefault="00E257D9" w:rsidP="005D529F">
      <w:pPr>
        <w:rPr>
          <w:rFonts w:cs="Times New Roman"/>
        </w:rPr>
      </w:pPr>
      <w:r w:rsidRPr="005D529F">
        <w:rPr>
          <w:rFonts w:cs="Times New Roman"/>
        </w:rPr>
        <w:t>La estabilidad que atribuimos al bienestar emocional de una persona, lograda mediante un equilibrio dinámico, siempre será precaria y dependiente de la persistencia de los factores y condiciones que le procuren felicidad e infelicidad en el marco de su situación general de  vida. Esto es, cualquier alteración substantiva de sus parámetros vitales podrá alterar el equilibrio en el que se funda su grado de felicidad. Y aunque, en general, los parámetros básicos de la vida cotidiana de las personas no cambian sustancialmente con mucha frecuencia, existen ciertos acontecimientos vitales que, alterando súbitamente tan solo uno de estos parámetros, entrañan una completa trasformación de la vida. Es en estos casos cuando podemos hablar de catástrofes personales, es decir, de acontecimientos vitales que transforman radicalmente las condiciones de nuestra existencia, de nuestro mundo y de la forma de habitar en el. Utilizamos aquí el término catástrofe en un sentido análogo al empleado en la teoría matemática de las catástrofes, propuesta originalmente por el matemático francés René Thom (1975), y desarrollada por Christopher Zeeman (Woodcock, 2013) (Martín, 1990). Los sistemas dinámicos, como la vida de una persona, pueden alcanzar puntos críticos en los que el cambio de un único parámetro conduce a un equilibrio completamente diferente.</w:t>
      </w:r>
    </w:p>
    <w:p w14:paraId="78184A1A" w14:textId="77777777" w:rsidR="0000205E" w:rsidRDefault="00E257D9" w:rsidP="005D529F">
      <w:pPr>
        <w:rPr>
          <w:rFonts w:cs="Times New Roman"/>
        </w:rPr>
      </w:pPr>
      <w:r w:rsidRPr="005D529F">
        <w:rPr>
          <w:rFonts w:cs="Times New Roman"/>
        </w:rPr>
        <w:t>El significado comúnmente atribuido al término catástrofe es el que la Real Academia de la Lengua le otorga en su primera acepción, al definirlo como “suceso infausto que altera el orden regular de las cosas”. Ahora bien, en su quinta acepción, la RAE se acerca más al sentido que tiene en la teoría matemática mencionada, pues define catástrofe como “cambio brusco de estado de un sistema dinámico, provocado por una mínima alteración de uno de sus parámetros”. Así, desde esta perspectiva, las catástrofes personales pueden ser faustas o infaustas, positivas como negativas.</w:t>
      </w:r>
    </w:p>
    <w:p w14:paraId="600113D0" w14:textId="77777777" w:rsidR="0000205E" w:rsidRDefault="00E257D9" w:rsidP="005D529F">
      <w:pPr>
        <w:rPr>
          <w:rFonts w:cs="Times New Roman"/>
        </w:rPr>
      </w:pPr>
      <w:r w:rsidRPr="005D529F">
        <w:rPr>
          <w:rFonts w:cs="Times New Roman"/>
        </w:rPr>
        <w:lastRenderedPageBreak/>
        <w:t>Existen muchos acontecimientos vitales capaces de producir catástrofes positivas o negativas en la vida de una persona: emigrar a una nueva ciudad o a un nuevo país; obtener una fortuna por herencia o por haber sido agraciado con un fabuloso premio de la lotería; separarse o divorciarse de la pareja; enamorarse; convertirse a cualquier credo o religión; perder el empleo; entrar a formar parte de un grupo o de una comunidad; contraer matrimonio; abandonar los estudios; retirarse o jubilarse; llegar a la edad provecta en que la salud se deteriora indefectiblemente; contraer una grave enfermedad crónica o sufrir una discapacidad invalidante; o ascender en el trabajo a un puesto de mayor responsabilidad.</w:t>
      </w:r>
    </w:p>
    <w:p w14:paraId="5C27180B" w14:textId="77777777" w:rsidR="0000205E" w:rsidRDefault="00E257D9" w:rsidP="005D529F">
      <w:pPr>
        <w:rPr>
          <w:rFonts w:cs="Times New Roman"/>
        </w:rPr>
      </w:pPr>
      <w:r w:rsidRPr="005D529F">
        <w:rPr>
          <w:rFonts w:cs="Times New Roman"/>
        </w:rPr>
        <w:t xml:space="preserve">En este capítulo queremos comprobar empíricamente en qué medida este tipo de catástrofes afectan a la felicidad y al bienestar emocional de las personas que la sufren. Para ello analizaremos las variaciones que producen en el Índice de Bienestar Emocional (IBSE) de los españoles, y de los europeos, algunos importantes acontecimientos vitales, como son la enfermedad crónica y la discapacidad, el desempleo y el miedo al desempleo, y el divorcio y la viudedad. En este capítulo estaremos especialmente interesados en conocer si quienes sufren catástrofes personales  acaban finalmente adaptándose a la nueva situación, volviendo a sus previos niveles de felicidad o si, por el contrario, la catástrofe personal, sea negativa o positiva, una nueva estructura afectiva o emocional más o menos perdurable.  </w:t>
      </w:r>
    </w:p>
    <w:p w14:paraId="3A4C8985" w14:textId="77777777" w:rsidR="0000205E" w:rsidRDefault="00E257D9" w:rsidP="00D11A94">
      <w:pPr>
        <w:pStyle w:val="Ttulo2"/>
      </w:pPr>
      <w:bookmarkStart w:id="77" w:name="_Toc311991807"/>
      <w:bookmarkStart w:id="78" w:name="_Toc311993036"/>
      <w:r w:rsidRPr="005D529F">
        <w:t>5.2  Teorías de la adaptación hedonista</w:t>
      </w:r>
      <w:bookmarkEnd w:id="77"/>
      <w:bookmarkEnd w:id="78"/>
    </w:p>
    <w:p w14:paraId="5235A5B6" w14:textId="77777777" w:rsidR="0000205E" w:rsidRDefault="00E257D9" w:rsidP="005D529F">
      <w:pPr>
        <w:rPr>
          <w:rFonts w:cs="Times New Roman"/>
        </w:rPr>
      </w:pPr>
      <w:r w:rsidRPr="005D529F">
        <w:rPr>
          <w:rFonts w:cs="Times New Roman"/>
        </w:rPr>
        <w:t>En torno al bienestar emocional, existen dos preguntas fundamentales que requieren alguna respuesta: a) ¿Son capaces los seres humanos de adaptarse a cualquier circunstancia objetiva, incluso a las más nefastas y penosas?, y b) ¿Es relativa la felicidad de los seres humanos? Contestando afirmativamente a estas preguntas sostendríamos, en primer lugar, que tras el impacto inicial provocado por una determinada catástrofe, sea positiva o negativa, y según vaya pasando el tiempo, la persona se irá habituando o adaptando a las nuevas circunstancias hasta retornar finalmente, bien a su nivel de felicidad original, bien a un nivel básico y neutral en el que la persona dejaría de sentirse especialmente feliz o desgraciada. En segundo lugar, estaríamos afirmando que, en esencia, la felicidad de una persona no depende ni de sus recursos disponibles, ni de las condiciones objetivas o externas que caracterizan su situación de vida.</w:t>
      </w:r>
    </w:p>
    <w:p w14:paraId="2FCFB2DB" w14:textId="77777777" w:rsidR="0000205E" w:rsidRDefault="00E257D9" w:rsidP="005D529F">
      <w:pPr>
        <w:rPr>
          <w:rFonts w:cs="Times New Roman"/>
        </w:rPr>
      </w:pPr>
      <w:r w:rsidRPr="005D529F">
        <w:rPr>
          <w:rFonts w:cs="Times New Roman"/>
        </w:rPr>
        <w:t xml:space="preserve">En un capítulo titulado “El relativismo hedónico y la planificación de una buena sociedad”, los psicólogos P. Brickman y D. T. Campbell (1971) propusieron originalmente la teoría de la adaptación hedonista. Esta teoría predice que tanto los buenos como los malos acontecimientos vitales tan solo tendrán un efecto provisional sobre la felicidad, pues las personas, adaptándose a las circunstancias de su nueva situación, pronto volverán a experimentar el grado de felicidad que experimentaban en el de partida, o bien un grado de felicidad neutral. Esta teoría tuvo desde el principio una buena </w:t>
      </w:r>
      <w:r w:rsidRPr="005D529F">
        <w:rPr>
          <w:rFonts w:cs="Times New Roman"/>
        </w:rPr>
        <w:lastRenderedPageBreak/>
        <w:t>aceptación general, y muchas investigaciones posteriores parecían confirmarla. Una de las más famosas fue la realizada por Brickman, Coates y Janoff</w:t>
      </w:r>
      <w:r w:rsidRPr="005D529F">
        <w:rPr>
          <w:rFonts w:cs="Times New Roman"/>
        </w:rPr>
        <w:noBreakHyphen/>
        <w:t>Bulman (1978), basada en el estudio de ganadores de grandes premios de lotería y de víctimas de accidentes. Los autores concluyeron que “los ganadores de lotería no eran más felices que los no ganadores y que las personas parapléjicas no eran sustancialmente menos felices que las personas que pueden caminar” (Diener et. al., 2006:305). La teoría de la adaptación hedonista también es conocida como la teoría de la rutina del hedonismo (hedonic treadmill theory), ya que si los seres humanos, pasado un tiempo, se adaptan a cualquier situación, todos los esfuerzos que hagan por ser felices serían tan vanos como el obstinado movimiento de un hámster en el interior de una rueda que gira sobre su eje: pese a su frenética y denodada carrera, el pequeño animal nunca conseguirá salir de la jaula, ni moverse un ápice del mismo sitio. La persecución de la felicidad sería completamente inútil, pues tan solo podríamos disfrutar de la misma provisional y transitoriamente. Dado que esta teoría predice la vuelta a un valor inicial de referencia, también se alude a ella como teoría del punto de referencia (set-point theory). Tanto los individuos que experimentan la euforia provocada por un momento de plena felicidad, como aquellos hundidos en la sima más profunda de la desgracia, terminarán habituándose a su situación, perderán la sensibilidad necesaria para seguir experimentando esta gran intensidad emocional, y retornarán al punto de origen, esto es, un supuesto grado neutral o medio de felicidad. Por último, habría que considerar que, además de la mecánica del hábito, los seres humanos desarrollan estrategias activas y conscientes para gestionar su vivencia emocional en situaciones dolorosas, y esto con el fin de alejarse del sufrimiento y recuperar la normalidad o neutralidad emocional.</w:t>
      </w:r>
    </w:p>
    <w:p w14:paraId="7177F161" w14:textId="77777777" w:rsidR="0000205E" w:rsidRDefault="00E257D9" w:rsidP="005D529F">
      <w:pPr>
        <w:rPr>
          <w:rFonts w:cs="Times New Roman"/>
        </w:rPr>
      </w:pPr>
      <w:r w:rsidRPr="005D529F">
        <w:rPr>
          <w:rFonts w:cs="Times New Roman"/>
        </w:rPr>
        <w:t>Diener, Lucas y Scollon (2006) evaluaron los méritos de la teoría de la adaptación, reconociendo que en muchas ocasiones las pruebas empíricas avalaban su tesis principal. “Las condiciones externas suelen estar débilmente correlacionadas con las declaraciones de felicidad. Por ejemplo, todas las variables demográficas tomadas en conjunto predicen el 20% de la varianza en felicidad”. “Además, los estudios longitudinales que han estudiado los cambios en felicidad a través del tiempo ofrecen pruebas directas de que la adaptación opera”. Demuestran que “algunos acontecimientos vitales, sean buenos o malos, afectan a la felicidad en tanto hayan ocurrido en los dos meses anteriores”. En suma, según estos autores, la teoría de la adaptación cuenta con un soporte empírico robusto, tal y como se muestra también en la revisión llevada a cabo por Frederick y Loewenstein (1999).</w:t>
      </w:r>
    </w:p>
    <w:p w14:paraId="7A12A6E3" w14:textId="77777777" w:rsidR="0000205E" w:rsidRDefault="00E257D9" w:rsidP="005D529F">
      <w:pPr>
        <w:rPr>
          <w:rFonts w:cs="Times New Roman"/>
        </w:rPr>
      </w:pPr>
      <w:r w:rsidRPr="005D529F">
        <w:rPr>
          <w:rFonts w:cs="Times New Roman"/>
        </w:rPr>
        <w:t xml:space="preserve">Pese a estas evidencias empíricas, los autores están convencidos de que el modelo de la adaptación exige al menos ser revisado en cinco aspectos fundamentales: 1) No es cierto que la gente, tras un determinando acontecimiento vital, vuelva a un punto “neutro” de felicidad; la Encuesta Mundial de Valores muestra que el 80% de los entrevistados declara sentirse muy o bastantes feliz; 2) No existe un punto de referencia para la población en general, pues el nivel de felicidad varía considerablemente según individuos, dependiendo en gran medida de factores de personalidad y de herencia genética; 3) La felicidad no es una realidad unidimensional, tal y como supone la teoría, </w:t>
      </w:r>
      <w:r w:rsidRPr="005D529F">
        <w:rPr>
          <w:rFonts w:cs="Times New Roman"/>
        </w:rPr>
        <w:lastRenderedPageBreak/>
        <w:t>sino un concepto multidimensional compuesto de diferentes variables con puntos de referencias que pueden evolucionar de forma diferente; 4) En contra del supuesto básico de la teoría, las diferencias existentes en los niveles de felicidad entre países demuestra que la gente, mejorando sus circunstancias de vida, sí puede ir mejorando en el largo plazo su bienestar subjetivo; y 5) Que no todas las personas se adaptan en el mismo grado o en el mismo tiempo tras un determinado acontecimiento vital, pues el proceso depende de rasgos de la personalidad y de las estrategias que aplique el sujeto para manejar y controlar este tipo de situaciones. En conclusión, “la gente sí que se adapta a muchos acontecimientos de vida, y normalmente lo hacen en un período de tiempo relativamente corto. De ahí que los procesos de adaptación puedan explicar por qué a menudo muchos factores tienen una escasa influencia en la felicidad”. Ahora bien, una rígida teoría de la adaptación es insostenible. “La adaptación es una fuerza poderosa, pero no es tan completa ni automática como para arruinar cualquier esfuerzo orientado a la mejora del bienestar” (Diener et al, 2006:313).</w:t>
      </w:r>
    </w:p>
    <w:p w14:paraId="69FA3ED7" w14:textId="77777777" w:rsidR="0000205E" w:rsidRDefault="00E257D9" w:rsidP="005D529F">
      <w:pPr>
        <w:rPr>
          <w:rFonts w:cs="Times New Roman"/>
        </w:rPr>
      </w:pPr>
      <w:r w:rsidRPr="005D529F">
        <w:rPr>
          <w:rFonts w:cs="Times New Roman"/>
        </w:rPr>
        <w:t>Por su parte, Ruut Veenhoven (1991, 1994) ha evaluado las teorías que sostienen que la felicidad de los seres humanos es relativa. Entre estas teorías se incluyen las teorías de la felicidad de los filósofos tanto epicúreos como estoicos, la teoría de la adaptación propuesta por Brickman y Campbell, así como la paradoja de Easterlin (1974), investigador que publicó un trabajo mostrando que la felicidad era insensible al crecimiento económico de los países. El principio fundamental de estas teorías sostiene que la felicidad no depende de las condiciones objetivas, sino de comparaciones subjetivas. Sus postulados básicos son los siguientes: 1) El nivel de felicidad resulta de la comparación establecida por el sujeto entre cómo es realmente su vida y como desearía que fuera o cómo debiera ser; 2) Que los estándares de comparación se elevan si las condiciones mejoran, y descienden cuando empeoran, adaptándose a las fluctuaciones de la propia realidad; y 3) que los estándares de comparación son arbitrarios, esto es, constructos mentales que no se ajustan a ningún patrón objetivo de calidad de vida o de buena vida. De aquí se deducen algunos importantes corolarios, como que la felicidad es insensible a la calidad de vida objetiva; que el crecimiento de la felicidad no puede ser duradero; que cuando se haya experimentado una situación difícil en el pasado, la felicidad en el tiempo presente será, por comparación, bastante mayor;  y que como los estándares se van ajustando, el grado de felicidad tenderá siempre a un punto típicamente neutral, ni positivo ni negativo.</w:t>
      </w:r>
    </w:p>
    <w:p w14:paraId="62E989FD" w14:textId="77777777" w:rsidR="0000205E" w:rsidRDefault="00E257D9" w:rsidP="005D529F">
      <w:pPr>
        <w:rPr>
          <w:rFonts w:cs="Times New Roman"/>
        </w:rPr>
      </w:pPr>
      <w:r w:rsidRPr="005D529F">
        <w:rPr>
          <w:rFonts w:cs="Times New Roman"/>
        </w:rPr>
        <w:t xml:space="preserve">Veenhoven (1991) revisa las pruebas empíricas y, en contra de estos postulados y corolarios, comprueba que sí existen diferencias de felicidad entre países ricos y pobres, aunque las diferencias vayan disminuyendo conforme aumenta el nivel de riqueza del país. También comprueba que existen diferencias de felicidad entre las personas que han sufrido alguna desgracia y las que no. Por ejemplo, las personas que sufren paraplejia son en general menos felices. Ahora bien, es necesario comprender que ninguna desgracia, salvo la muerte, llega a secar completamente todas las fuentes de las que los seres humanos pueden extraer alguna gratificación. A la inversa, el hecho de que los ganadores de la lotería incrementen tan solo ligeramente su grado de felicidad puede ser debido, no </w:t>
      </w:r>
      <w:r w:rsidRPr="005D529F">
        <w:rPr>
          <w:rFonts w:cs="Times New Roman"/>
        </w:rPr>
        <w:lastRenderedPageBreak/>
        <w:t>a que la riqueza influya poco, sino también a los efectos negativos derivados de la ansiedad y de la anomia asociadas a este catastrófico, aunque positivo, cambio de identidad. Los estudios muestran que acontecimientos de vida favorables (como casarse, aprobar un examen, o ser promocionado en el trabajo) tienden a ir seguidos, siquiera temporalmente, de un aumento de felicidad, al igual que todos los vitales acontecimientos adversos provocan al principio un descenso del bienestar emocional. En suma, “aunque no todos los cambios para mejor o para peor afectan a la felicidad permanentemente, al menos algunos sí que lo hacen”, concluye Veenhoven (1991:22).</w:t>
      </w:r>
    </w:p>
    <w:p w14:paraId="52FC3DAB" w14:textId="77777777" w:rsidR="0000205E" w:rsidRDefault="00E257D9" w:rsidP="005D529F">
      <w:pPr>
        <w:rPr>
          <w:rFonts w:cs="Times New Roman"/>
        </w:rPr>
      </w:pPr>
      <w:r w:rsidRPr="005D529F">
        <w:rPr>
          <w:rFonts w:cs="Times New Roman"/>
        </w:rPr>
        <w:t>Es evidente que el sentimiento de “felicidad” no puede ser equiparado al de “satisfacción”, que es en esencia una valoración mental. La felicidad constituye una valoración afectiva o emotiva de nuestra vida, y no solo depende de comparaciones cognitivas, intelectuales o racionales basadas en el grado de cumplimiento de nuestros deseos. La felicidad también depende del grado en que estén satisfechas las necesidades básicas o innatas de cualquier ser humano. En conclusión, “la felicidad, en la medida que depende de la satisfacción de estas necesidades, no es relativa (Veenhoven, 1991:30-32).</w:t>
      </w:r>
    </w:p>
    <w:p w14:paraId="11EEAC46" w14:textId="77777777" w:rsidR="0000205E" w:rsidRDefault="00E257D9" w:rsidP="005D529F">
      <w:pPr>
        <w:rPr>
          <w:rFonts w:cs="Times New Roman"/>
        </w:rPr>
      </w:pPr>
      <w:r w:rsidRPr="005D529F">
        <w:rPr>
          <w:rFonts w:cs="Times New Roman"/>
        </w:rPr>
        <w:t>Si la teoría de la adaptación, en su formulación más tosca, en sentido estricto y sin matices, fuera totalmente cierta, los grandes acontecimientos o las catástrofes personales que experimentan los individuos a lo largo de la vida, al no tener impacto alguno sobre su bienestar emocional, no tendrían la menor importancia. Sin embargo, como veremos en los datos empíricos que a continuación se ofrecen, y como asimismo prueban los últimos estudios longitudinales realizados con grandes encuestas panel (Anusic et al, 2014) (Lucas, 2005, 2007a, 2007b) (Lucas et al, 2003) (Lucas et al, 2004), las catástrofes vitales que alteran significativamente las situaciones de vida de las personas sí tienen un efecto más o menos perdurable sobre su felicidad (Anusic et al, 2014) (Lucas, 2005, 2007a, 2007b) (Lucas et al, 2003) (Lucas et al, 2004).</w:t>
      </w:r>
    </w:p>
    <w:p w14:paraId="04FCC557" w14:textId="77777777" w:rsidR="0000205E" w:rsidRDefault="00E257D9" w:rsidP="005D529F">
      <w:pPr>
        <w:rPr>
          <w:rFonts w:cs="Times New Roman"/>
        </w:rPr>
      </w:pPr>
      <w:r w:rsidRPr="005D529F">
        <w:rPr>
          <w:rFonts w:cs="Times New Roman"/>
        </w:rPr>
        <w:t xml:space="preserve">En sentido estricto, la teoría de la adaptación, al postular un férreo determinismo también desemboca en un fatalismo social y político atroz. “La teoría, que ha logrado una aceptación general en los últimos años, implica que los esfuerzos individuales y sociales orientados a incrementar la felicidad están condenados al fracaso”. “Imaginemos un mundo en el que el vagabundo más pobre y enfermo, sin familia y sin amigos, es tan feliz como el millonario saludable que cuenta con el apoyo de una abundante red de relaciones sociales cercanas. O imaginemos que los individuos que viven en una dictadura cruel, en la que el crimen, la esclavitud y la desigualdad campan a su anchas estuvieran más satisfechos con sus vidas que la gente viviendo en un democracia estable con un mínimo grado de criminalidad”. Pues bien, esta visión sería compatible con la teoría de la adaptación (Diener et al, 2006:305).      </w:t>
      </w:r>
    </w:p>
    <w:p w14:paraId="47F4F216" w14:textId="77777777" w:rsidR="0000205E" w:rsidRDefault="00E257D9" w:rsidP="00D11A94">
      <w:pPr>
        <w:pStyle w:val="Ttulo2"/>
      </w:pPr>
      <w:bookmarkStart w:id="79" w:name="_Toc311991808"/>
      <w:bookmarkStart w:id="80" w:name="_Toc311993037"/>
      <w:r w:rsidRPr="005D529F">
        <w:lastRenderedPageBreak/>
        <w:t>5.3  Personas que padecen enfermedad crónica o discapacidad</w:t>
      </w:r>
      <w:bookmarkEnd w:id="79"/>
      <w:bookmarkEnd w:id="80"/>
    </w:p>
    <w:p w14:paraId="39507261" w14:textId="77777777" w:rsidR="0000205E" w:rsidRDefault="00E257D9" w:rsidP="005D529F">
      <w:pPr>
        <w:rPr>
          <w:rFonts w:cs="Times New Roman"/>
        </w:rPr>
      </w:pPr>
      <w:r w:rsidRPr="005D529F">
        <w:rPr>
          <w:rFonts w:cs="Times New Roman"/>
        </w:rPr>
        <w:t>Tras la realización de una investigación cualitativa destinada a estudiar, mediante entrevistas en profundidad, la situación de vida de los enfermos crónicos, Kathy Charmaz (1983) alertaba sobre el error de concebir su sufrimiento exclusivamente desde un estrecha perspectiva bio-médica, considerando tan solo el dolor y las molestias físicas que la enfermedad les causaba, e ignorando o minimizando la infelicidad y el malestar emocional a los que, en un sentido amplio, estos seres humanos debilitados por la enfermedad debían enfrentarse. Estos enfermos experimentaban el sufrimiento fundamentalmente a través de una vivencia fundamental, la pérdida del yo. Esta desintegración de la persona, vivida como una degradación del yo, se manifiesta en la alteración de al menos cuatro parámetros vitales. Primero, debido a las nuevas restricciones que condicionan su vida: los enfermos llegan a ser muy conscientes de que ya no podrán hacer muchas de las cosas que apreciaban y con las que disfrutaban en el pasado. Segundo, por el aislamiento social: los enfermos crónicos que dejan de trabajar pierden a sus compañeros, y la dificultad de superar barreras físicas hacen que vayan perdiendo el contacto con el grupo de amigos. Tercero, por la desacreditación o estigmatización del yo: los otros estigmatizan al sujeto en las interacciones sociales, e incluso el propio enfermo llega a estigmatizarse a sí mismo. Y cuarto, por el hecho de convertirse en una carga para los demás: esto degrada su identidad porque el enfermo se convierte en una persona dependiente que ha perdido gran parte del control sobre la situaciones e, incluso, sobre su propia calidad de vida.</w:t>
      </w:r>
    </w:p>
    <w:p w14:paraId="76954F1C" w14:textId="77777777" w:rsidR="0000205E" w:rsidRDefault="00E257D9" w:rsidP="005D529F">
      <w:pPr>
        <w:rPr>
          <w:rFonts w:cs="Times New Roman"/>
        </w:rPr>
      </w:pPr>
      <w:r w:rsidRPr="005D529F">
        <w:rPr>
          <w:rFonts w:cs="Times New Roman"/>
        </w:rPr>
        <w:t>Veamos, ahora, qué nos dice el Índice de Bienestar Socioemocional (IBSE) estimado para el conjunto de españoles y de europeos (Europa-27</w:t>
      </w:r>
      <w:r w:rsidRPr="005D529F">
        <w:rPr>
          <w:rStyle w:val="Refdenotaalpie"/>
          <w:rFonts w:eastAsia="Times New Roman" w:cs="Arial"/>
          <w:color w:val="000000"/>
          <w:lang w:val="es-ES"/>
        </w:rPr>
        <w:footnoteReference w:id="5"/>
      </w:r>
      <w:r w:rsidRPr="005D529F">
        <w:rPr>
          <w:rFonts w:cs="Times New Roman"/>
        </w:rPr>
        <w:t xml:space="preserve">) que, en las oleadas de 2006 y 2012 de la ESS, indicaron sufrir una “enfermedad crónica o situación de invalidez permanente”. Pues bien, en la Tabla 5.1 podemos comprobar la magnitud de la catástrofe emocional  que sufren las personas cuando contraen una enfermedad crónica o una grave discapacidad permanente. La media del IBSE, tanto en España (-47,2) como en Europa (-42,0), muestra que la felicidad de estas personas experimenta un dramático descenso y que, por tanto, el sufrimiento que hace más de treinta años pusiera de manifiesto Charmaz en su investigación cualitativa parece seguir hoy, pese a los avances sociales </w:t>
      </w:r>
      <w:r w:rsidRPr="005D529F">
        <w:rPr>
          <w:rFonts w:cs="Times New Roman"/>
        </w:rPr>
        <w:lastRenderedPageBreak/>
        <w:t>logrados desde entonces hasta ahora. Estos datos demuestra, sin ningún género de dudas, que las personas que padecen una enfermedad crónica o una discapacidad permanente, son personas que están excluidas de la felicidad.</w:t>
      </w:r>
    </w:p>
    <w:p w14:paraId="413854F5" w14:textId="2E409415" w:rsidR="0000205E" w:rsidRDefault="00E257D9" w:rsidP="005D529F">
      <w:pPr>
        <w:rPr>
          <w:rFonts w:cs="Times New Roman"/>
        </w:rPr>
      </w:pPr>
      <w:r w:rsidRPr="005D529F">
        <w:rPr>
          <w:noProof/>
          <w:lang w:val="es-ES"/>
        </w:rPr>
        <w:drawing>
          <wp:anchor distT="0" distB="0" distL="114300" distR="114300" simplePos="0" relativeHeight="251675648" behindDoc="0" locked="0" layoutInCell="1" allowOverlap="1" wp14:anchorId="687EBB44" wp14:editId="5D7C12FA">
            <wp:simplePos x="0" y="0"/>
            <wp:positionH relativeFrom="column">
              <wp:posOffset>-635</wp:posOffset>
            </wp:positionH>
            <wp:positionV relativeFrom="paragraph">
              <wp:posOffset>1691640</wp:posOffset>
            </wp:positionV>
            <wp:extent cx="3775075" cy="209296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5.1.pdf"/>
                    <pic:cNvPicPr/>
                  </pic:nvPicPr>
                  <pic:blipFill rotWithShape="1">
                    <a:blip r:embed="rId29">
                      <a:extLst>
                        <a:ext uri="{28A0092B-C50C-407E-A947-70E740481C1C}">
                          <a14:useLocalDpi xmlns:a14="http://schemas.microsoft.com/office/drawing/2010/main" val="0"/>
                        </a:ext>
                      </a:extLst>
                    </a:blip>
                    <a:srcRect l="16011" t="17444" r="37936" b="64520"/>
                    <a:stretch/>
                  </pic:blipFill>
                  <pic:spPr bwMode="auto">
                    <a:xfrm>
                      <a:off x="0" y="0"/>
                      <a:ext cx="3775075" cy="209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D529F">
        <w:rPr>
          <w:rFonts w:cs="Times New Roman"/>
        </w:rPr>
        <w:t>En la Tabla 5.1 también puede observarse el hecho de que, entre los españoles, dos de las cuatro dimensiones, la de estatus o ánimo (-77,7) y la de situación ó contento (</w:t>
      </w:r>
      <w:r w:rsidRPr="005D529F">
        <w:rPr>
          <w:rFonts w:cs="Times New Roman"/>
        </w:rPr>
        <w:noBreakHyphen/>
        <w:t xml:space="preserve">62,1), son las que en mayor medida contribuyen a la infelicidad de los enfermos crónicos y de los discapacitados. Tal y como ponían de manifiesto los resultados de la investigación de Charmaz, estas personas dejan de disfrutar de muchas de las cosas con las que antes disfrutaban, y por ello estarán menos contentas. La cantidad y calidad de sus relaciones sociales, así como su estatus social, seguramente también se verán muy afectados, por lo que estas personas pierden mucho más fácilmente el ánimo, sintiéndose más tristes, deprimidas y solas. Es preciso tener también en cuenta que la puntuación </w:t>
      </w:r>
      <w:r w:rsidRPr="005D529F">
        <w:rPr>
          <w:rFonts w:cs="Times New Roman"/>
        </w:rPr>
        <w:noBreakHyphen/>
        <w:t>47,2 es la media de esta subpoblación, pero en el seno de este cole</w:t>
      </w:r>
      <w:r w:rsidR="0007637E">
        <w:rPr>
          <w:rFonts w:cs="Times New Roman"/>
        </w:rPr>
        <w:t>c</w:t>
      </w:r>
      <w:r w:rsidRPr="005D529F">
        <w:rPr>
          <w:rFonts w:cs="Times New Roman"/>
        </w:rPr>
        <w:t xml:space="preserve">tivo social se dan un conjunto muy diverso de circunstancias. De hecho, la desviación típica del IBSE entre estas personas (59,8) es bastante más alta que entre la población española general (48,0), lo que nos indica que, si bien algunos de estos individuos, utilizando recursos personales y materiales a su alcance, llegan a tener un relativamente aceptable nivel de bienestar emocional, otros están abocados al sufrimiento y a experimentar un profundo malestar emocional. En este sentido, el hecho de tener o no tener recursos económicos, como hemos demostrado en el análisis que presentamos en la Tabla 7.2 del capítulo dedicado a la pobreza, establece una gran diferencia en el bienestar emocional de los enfermos crónicos y discapacitados. De hecho, estimando los percentiles de la distribución de los valores IBSE en este colectivo, comprobamos que uno de cada cuatro enfermos crónicos o discapacitados permanentes españoles tienen una puntuación de felicidad por debajo de </w:t>
      </w:r>
      <w:r w:rsidRPr="005D529F">
        <w:rPr>
          <w:rFonts w:cs="Times New Roman"/>
        </w:rPr>
        <w:noBreakHyphen/>
        <w:t>85,8, lo que demuestra más allá de su profundo malestar, el sufrimiento radical al que injustamente se tienen que seguir enfrentando día a día, en la España actual, muchas de estas personas.</w:t>
      </w:r>
    </w:p>
    <w:p w14:paraId="4BD87627" w14:textId="66648A0D" w:rsidR="0000205E" w:rsidRDefault="00E257D9" w:rsidP="005D529F">
      <w:pPr>
        <w:rPr>
          <w:rFonts w:cs="Times New Roman"/>
        </w:rPr>
      </w:pPr>
      <w:r w:rsidRPr="005D529F">
        <w:rPr>
          <w:rFonts w:cs="Times New Roman"/>
        </w:rPr>
        <w:t>¿Se adaptan con el tiempo los enfermos crónicos o las personas con discapacidad permanente a su situación? Aunque algunos estudios demuestran que aquellas personas que llevan conviviendo más tiempo con la discapacidad han tenido más oportunidades para ir adaptándose (</w:t>
      </w:r>
      <w:r w:rsidRPr="005D529F">
        <w:rPr>
          <w:rFonts w:cs="Times New Roman"/>
          <w:lang w:val="es-ES"/>
        </w:rPr>
        <w:t xml:space="preserve">Krause y Sternberg, 1997), </w:t>
      </w:r>
      <w:r w:rsidRPr="005D529F">
        <w:rPr>
          <w:rFonts w:cs="Times New Roman"/>
        </w:rPr>
        <w:t xml:space="preserve">estudios longitudinales recientes (Anusic, 2014) (Lucas et al, 2004) prueban que la reducción del bienestar que conlleva la discapacidad grave nunca llega a recuperarse del todo. En cualquier caso, y con </w:t>
      </w:r>
      <w:r w:rsidR="00130457" w:rsidRPr="005D529F">
        <w:rPr>
          <w:noProof/>
          <w:lang w:val="es-ES"/>
        </w:rPr>
        <w:lastRenderedPageBreak/>
        <w:drawing>
          <wp:anchor distT="0" distB="0" distL="114300" distR="114300" simplePos="0" relativeHeight="251676672" behindDoc="0" locked="0" layoutInCell="1" allowOverlap="1" wp14:anchorId="7FA2EE9F" wp14:editId="718955A5">
            <wp:simplePos x="0" y="0"/>
            <wp:positionH relativeFrom="column">
              <wp:posOffset>0</wp:posOffset>
            </wp:positionH>
            <wp:positionV relativeFrom="paragraph">
              <wp:posOffset>0</wp:posOffset>
            </wp:positionV>
            <wp:extent cx="1600200" cy="2322195"/>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5.2.pdf"/>
                    <pic:cNvPicPr/>
                  </pic:nvPicPr>
                  <pic:blipFill rotWithShape="1">
                    <a:blip r:embed="rId30">
                      <a:extLst>
                        <a:ext uri="{28A0092B-C50C-407E-A947-70E740481C1C}">
                          <a14:useLocalDpi xmlns:a14="http://schemas.microsoft.com/office/drawing/2010/main" val="0"/>
                        </a:ext>
                      </a:extLst>
                    </a:blip>
                    <a:srcRect l="10010" t="24516" r="63887" b="48716"/>
                    <a:stretch/>
                  </pic:blipFill>
                  <pic:spPr bwMode="auto">
                    <a:xfrm>
                      <a:off x="0" y="0"/>
                      <a:ext cx="1600200" cy="23221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D529F">
        <w:rPr>
          <w:rFonts w:cs="Times New Roman"/>
        </w:rPr>
        <w:t xml:space="preserve">independencia de los factores que pudieran explicar el hecho, lo cierto es que los datos de la Tabla 5.2 demuestran que el grado de malestar emocional de los europeos que padecen enfermedad o discapacidad permanente no disminuye con el tiempo. Aunque los datos muestran algunos altibajos, no se observa ninguna mejora paulatina conforme pasa el tiempo desde que se produjo el acontecimiento que dio lugar a la discapacidad.   No se observan mejoras ni en los cinco primeros años, ni en los quinquenios posteriores. Lo mismo les sucede a las personas que sufren la discapacidad “desde siempre” (IBSE= -69,6). </w:t>
      </w:r>
    </w:p>
    <w:p w14:paraId="1EB7FE7E" w14:textId="1C9A4C0F" w:rsidR="0000205E" w:rsidRDefault="00E257D9" w:rsidP="005D529F">
      <w:pPr>
        <w:rPr>
          <w:rFonts w:cs="Times New Roman"/>
        </w:rPr>
      </w:pPr>
      <w:r w:rsidRPr="005D529F">
        <w:rPr>
          <w:noProof/>
          <w:lang w:val="es-ES"/>
        </w:rPr>
        <w:drawing>
          <wp:anchor distT="0" distB="0" distL="114300" distR="114300" simplePos="0" relativeHeight="251677696" behindDoc="0" locked="0" layoutInCell="1" allowOverlap="1" wp14:anchorId="7F0C1721" wp14:editId="5F8740F3">
            <wp:simplePos x="0" y="0"/>
            <wp:positionH relativeFrom="column">
              <wp:posOffset>0</wp:posOffset>
            </wp:positionH>
            <wp:positionV relativeFrom="paragraph">
              <wp:posOffset>1727200</wp:posOffset>
            </wp:positionV>
            <wp:extent cx="2626995" cy="217170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5.3.pdf"/>
                    <pic:cNvPicPr/>
                  </pic:nvPicPr>
                  <pic:blipFill rotWithShape="1">
                    <a:blip r:embed="rId31">
                      <a:extLst>
                        <a:ext uri="{28A0092B-C50C-407E-A947-70E740481C1C}">
                          <a14:useLocalDpi xmlns:a14="http://schemas.microsoft.com/office/drawing/2010/main" val="0"/>
                        </a:ext>
                      </a:extLst>
                    </a:blip>
                    <a:srcRect l="11341" t="16504" r="51134" b="61575"/>
                    <a:stretch/>
                  </pic:blipFill>
                  <pic:spPr bwMode="auto">
                    <a:xfrm>
                      <a:off x="0" y="0"/>
                      <a:ext cx="2626995" cy="21717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D529F">
        <w:rPr>
          <w:rFonts w:cs="Times New Roman"/>
        </w:rPr>
        <w:t>Por último, utilizaremos la tipología de bienestar Socioemocional que hemos creado para estimar las probabilidades que los enfermos crónicos y discapacitados permanentes tienen de estar felices, contentos, satisfechos, insatisfechos o infelices. Según los datos de la Tabla 5.3, es indudable que en este colectivo, al igual que entre la población general, existen personas pertenecientes a todos los tipos. El problema, sin embargo, estriba en que el porcentaje de españoles enfermos o discapacitados que se sienten  felices y contentos (16,7%), es muy inferior al de la población general (42,9%). A la inversa, el porcentaje de enfermos y discapacitados ni satisfechos ni felices (55,3%) es muchísimo mayor que el porcentaje existente entre la población española total (22,1%). El dato a recordar es que uno de cada tres enfermos crónicos o discapacitados permanentes españoles vive infeliz (34,4%), lo que pone de manifiesto la gravedad y el alcance de este problema social. Así, en este colectivo, la probabilidad de llevar una vida infeliz es 4,35 veces superior a la probabilidad que tiene la población española en general (7,9%).  Aunque la pauta de desigualdad del bienestar emocional es similar en España y en Europa, el porcentaje de enfermos y discapacitados que se sienten felices y contentos es sensiblemente menor en España (16,7%) que en Europa (19,4%). Asimismo, el porcentaje de personas no felices en España es cinco puntos superior al existente en Europa (29,5%), lo que da idea del margen de mejora que tiene nuestro país a la hora de abordar más eficientemente la atención a las personas enfermas y discapacitadas.</w:t>
      </w:r>
    </w:p>
    <w:p w14:paraId="211F2495" w14:textId="77777777" w:rsidR="0000205E" w:rsidRDefault="00E257D9" w:rsidP="00023AA0">
      <w:pPr>
        <w:pStyle w:val="Ttulo2"/>
      </w:pPr>
      <w:bookmarkStart w:id="81" w:name="_Toc311991809"/>
      <w:bookmarkStart w:id="82" w:name="_Toc311993038"/>
      <w:r w:rsidRPr="005D529F">
        <w:lastRenderedPageBreak/>
        <w:t>5.4  Personas desempleadas o que temen perder su empleo</w:t>
      </w:r>
      <w:bookmarkEnd w:id="81"/>
      <w:bookmarkEnd w:id="82"/>
    </w:p>
    <w:p w14:paraId="06E5E45A" w14:textId="77777777" w:rsidR="0000205E" w:rsidRDefault="00E257D9" w:rsidP="005D529F">
      <w:pPr>
        <w:rPr>
          <w:rFonts w:cs="Times New Roman"/>
        </w:rPr>
      </w:pPr>
      <w:r w:rsidRPr="005D529F">
        <w:rPr>
          <w:rFonts w:cs="Times New Roman"/>
        </w:rPr>
        <w:t>La pérdida del empleo constituye una catástrofe negativa que reduce el bienestar emocional de la persona que la sufre. Así lo han demostrado tanto investigaciones pioneras como recientes  (Jahoda et al, 1933) (Clark y Oswald, 1994) (Deaton, 2012). Pese a que en las sociedades avanzadas el trabajo ya no es el único eje sobre el que gravita la vida de los individuos, tal y como sucedía en las sociedades modernas, la situación general de las personas que queriendo trabajar no pueden hacerlo queda alterada gravemente. Pese al origen y a la naturaleza económica del acontecimiento, el desempleo constituye un fenómeno social y personal total cuyo alcance trasciende con mucho las inmediatas consecuencias financieras que la pérdida del salario trae consigo. Por este motivo, es necesario tener en cuenta que la relación existente entre el desempleo y la felicidad es bastante compleja, incluyendo aspectos financieros, familiares, psicológicos, sociales y culturales.</w:t>
      </w:r>
    </w:p>
    <w:p w14:paraId="17A1B11D" w14:textId="77777777" w:rsidR="0000205E" w:rsidRDefault="00E257D9" w:rsidP="005D529F">
      <w:pPr>
        <w:rPr>
          <w:rFonts w:cs="Times New Roman"/>
        </w:rPr>
      </w:pPr>
      <w:r w:rsidRPr="005D529F">
        <w:rPr>
          <w:rFonts w:cs="Times New Roman"/>
        </w:rPr>
        <w:t xml:space="preserve">Está demostrado desde hace tiempo que el desempleo incrementa las tensiones familiares (Thomas et. al., 1980), lo que reduce el bienestar emocional de todos los miembros de la familia. También está demostrado que la salud mental de los desempleados puede llegar a verse afectada, generando cuadros depresivos y de ansiedad que varían de grado según las personas y sus circunstancias </w:t>
      </w:r>
      <w:r w:rsidRPr="005D529F">
        <w:rPr>
          <w:rFonts w:cs="Times New Roman"/>
          <w:lang w:val="es-ES"/>
        </w:rPr>
        <w:t>(Jahoda, 1979, 1982). El desempleo, distanciando a los trabajadores del ámbito laboral, un ámbito clave de su sociabilidad, empobrece la vida social de las personas que lo sufren, reduciendo, a través de los incrementos del sentimiento de soledad, su bienestar emocional (Jahoda, 1982). Cuando el desempleo perdura en el tiempo, las incertidumbres y las preocupaciones acerca del futuro crecen (Frey, 2008). Y cuando el desempleado perciba que sus proyectos personales se desmoronan, desaparecerá la carga emocional positiva que aportan siempre nuestras ilusiones y retos. El efecto del desempleo sobre el bienestar emocional también dependerá de la importancia que la persona atribuya al “valor trabajo”, así como del grado en que tenga interiorizada la norma social protestante, que reclama un individuo fuerte, autónomo, independiente y capaz de valerse por sí mismo. Por esta causa, el desempleado puede sufrir tanto la estigmatización social, como sentimientos, generalmente no reconocidos, de vergüenza personal.</w:t>
      </w:r>
    </w:p>
    <w:p w14:paraId="77EC1420" w14:textId="43216F1A" w:rsidR="0000205E" w:rsidRDefault="00E257D9" w:rsidP="005D529F">
      <w:pPr>
        <w:rPr>
          <w:rFonts w:cs="Times New Roman"/>
        </w:rPr>
      </w:pPr>
      <w:r w:rsidRPr="005D529F">
        <w:rPr>
          <w:rFonts w:cs="Times New Roman"/>
        </w:rPr>
        <w:t xml:space="preserve">La Tabla 5.4 ofrece los datos de bienestar socioemocional (IBSE) de los empleados que tienen un trabajo remunerado, de los desempleados que están buscando trabajo, y de los desempleados que no buscan trabajo. Estos datos demuestran que, en efecto, el paro reduce sensiblemente el bienestar emocional de las personas. En Europa, esta reducción llega a alcanzar los veinte puntos, desde el valor 6,6 de los empleados, hasta el valor </w:t>
      </w:r>
      <w:r w:rsidRPr="005D529F">
        <w:rPr>
          <w:rFonts w:cs="Times New Roman"/>
        </w:rPr>
        <w:noBreakHyphen/>
        <w:t xml:space="preserve">12,8 de los parados que no buscan empleo. La reducción del bienestar emocional que produce el desempleo en España es algo menor a la que se produce en Europa, si bien es importante tener en cuenta que el número desempleados en España, un total de 5.427.700 en el tercer trimestre de 2014 es elevadísimo, lo que sin duda repercute en el cálculo de la medida de este colectivo. Además, algunas investigadores han detectado que los efectos del desempleo sobre el bienestar subjetivo es menor en aquellas regiones en </w:t>
      </w:r>
      <w:r w:rsidR="00023AA0" w:rsidRPr="005D529F">
        <w:rPr>
          <w:noProof/>
          <w:lang w:val="es-ES"/>
        </w:rPr>
        <w:lastRenderedPageBreak/>
        <w:drawing>
          <wp:anchor distT="0" distB="0" distL="114300" distR="114300" simplePos="0" relativeHeight="251678720" behindDoc="0" locked="0" layoutInCell="1" allowOverlap="1" wp14:anchorId="71853C8B" wp14:editId="368DE5BE">
            <wp:simplePos x="0" y="0"/>
            <wp:positionH relativeFrom="column">
              <wp:posOffset>0</wp:posOffset>
            </wp:positionH>
            <wp:positionV relativeFrom="paragraph">
              <wp:posOffset>114300</wp:posOffset>
            </wp:positionV>
            <wp:extent cx="2589530" cy="182880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5.4.pdf"/>
                    <pic:cNvPicPr/>
                  </pic:nvPicPr>
                  <pic:blipFill rotWithShape="1">
                    <a:blip r:embed="rId32">
                      <a:extLst>
                        <a:ext uri="{28A0092B-C50C-407E-A947-70E740481C1C}">
                          <a14:useLocalDpi xmlns:a14="http://schemas.microsoft.com/office/drawing/2010/main" val="0"/>
                        </a:ext>
                      </a:extLst>
                    </a:blip>
                    <a:srcRect l="23346" t="16969" r="45114" b="67284"/>
                    <a:stretch/>
                  </pic:blipFill>
                  <pic:spPr bwMode="auto">
                    <a:xfrm>
                      <a:off x="0" y="0"/>
                      <a:ext cx="2589530" cy="18288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D529F">
        <w:rPr>
          <w:rFonts w:cs="Times New Roman"/>
        </w:rPr>
        <w:t xml:space="preserve">las que el desempleo es mayor (Clarck, 2001). Con todo, al igual que sucedía en el colectivo de enfermos crónicos y discapacitados, la desviación típica del IBSE entre los desempleados españoles que buscan trabajo (50,8) o no buscan trabajo (51,3), es mayor que la existente entre los trabajadores (43,5). Y esto significa que entre los parados españoles se da una amplia diversidad de situaciones que tienen su reflejo tanto en  existencia de distintas estructuras afectivas con grados de felicidad diferentes. Así, estimando los percentiles de la distribución del IBSE en España, se comprueba que uno de cada cuatro parados tiene un nivel de bienestar emocional inferior a </w:t>
      </w:r>
      <w:r w:rsidRPr="005D529F">
        <w:rPr>
          <w:rFonts w:cs="Times New Roman"/>
        </w:rPr>
        <w:noBreakHyphen/>
        <w:t xml:space="preserve">40 en la escala IBSE, es decir, que sufren una estructura afectiva o emocional de clara insatisfacción vital o de neta infelicidad. En suma, aplicando estas estimaciones al total de desempleados existentes en la actualidad, concluiríamos que 1.356.925 desempleados en España viven por debajo del umbral de satisfacción y felicidad. </w:t>
      </w:r>
    </w:p>
    <w:p w14:paraId="72557BA9" w14:textId="4B9C381C" w:rsidR="0000205E" w:rsidRDefault="00E257D9" w:rsidP="005D529F">
      <w:pPr>
        <w:rPr>
          <w:rFonts w:cs="Times New Roman"/>
        </w:rPr>
      </w:pPr>
      <w:r w:rsidRPr="005D529F">
        <w:rPr>
          <w:rFonts w:cs="Times New Roman"/>
        </w:rPr>
        <w:t>Dada la gravedad de la situación que muestran los datos, creo que no será necesario añadir más comentarios. Sin embargo, en este momento es imprescindible subrayar que la felicidad no depende exclusivamente de factores personales, como la orientación psicoterapéutica individualista pretende hacernos creer, sino que también depende del modo en que esté organizada la sociedad. Por ejemplo, está probado que el efecto que tiene la pérdida del salario en el bienestar subjetivo de las personas es mayor en los Estados Unidos que en Europa. La calidad de las sociedades, el Estado de bienestar, o los niveles de protección social de los diferentes países también influye en el impacto que tenga el desempleo sobre el bienestar individual (Vignoli et al, 2013). En un estudio reciente, Wulfgramm (2014) ha demostrado que, “si bien el desempleo tiene un fuerte efecto negativo sobre la satisfacción con la vida en los 21 países europeos estudiados, la generosidad de las políticas pasivas del mercado de trabajo modera este efecto en una medida sorprendentemente elevada: los adversos efectos del desempleo casi se duplican si los subsidios de desempleo son escasos”. Sin duda, la lógicas sociales de la desigualdad establecen mediaciones en esta relación, que dista mucho de ser simplemente “natural”. El desempleo reduce la felicidad en mayor medida en las personas pobres que en las ricas (Ver Tabla 7.2), o tiene un menor efecto sobre la felicidad de la mujeres que sobre la de los hombres (van der Mier, 2014).</w:t>
      </w:r>
    </w:p>
    <w:p w14:paraId="4DD89EB5" w14:textId="00D22D17" w:rsidR="0000205E" w:rsidRDefault="00E257D9" w:rsidP="005D529F">
      <w:pPr>
        <w:rPr>
          <w:rFonts w:cs="Times New Roman"/>
        </w:rPr>
      </w:pPr>
      <w:r w:rsidRPr="005D529F">
        <w:rPr>
          <w:rFonts w:cs="Times New Roman"/>
        </w:rPr>
        <w:t xml:space="preserve">Nos preguntaremos, ahora, si las personas acomodan su vida al desempleo y, según predice la teoría de la adaptación, si recuperan los niveles de felicidad precedentes conforme va trascurriendo el tiempo. Pues bien, tal y como puede comprobarse en la Tabla 5.5, durante los dos primeros años de desempleo los individuos, por término medio, no disminuyen de una forma muy dramática su bienestar emocional (-5,8). Sin embargo, el malestar emocional crece con el tiempo, estabilizándose bastante pronto en </w:t>
      </w:r>
      <w:r w:rsidR="00BD40D9" w:rsidRPr="005D529F">
        <w:rPr>
          <w:noProof/>
          <w:lang w:val="es-ES"/>
        </w:rPr>
        <w:lastRenderedPageBreak/>
        <w:drawing>
          <wp:anchor distT="0" distB="0" distL="114300" distR="114300" simplePos="0" relativeHeight="251679744" behindDoc="0" locked="0" layoutInCell="1" allowOverlap="1" wp14:anchorId="3ACF9305" wp14:editId="1A18698E">
            <wp:simplePos x="0" y="0"/>
            <wp:positionH relativeFrom="column">
              <wp:posOffset>0</wp:posOffset>
            </wp:positionH>
            <wp:positionV relativeFrom="paragraph">
              <wp:posOffset>0</wp:posOffset>
            </wp:positionV>
            <wp:extent cx="1710690" cy="205168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5.5.pdf"/>
                    <pic:cNvPicPr/>
                  </pic:nvPicPr>
                  <pic:blipFill rotWithShape="1">
                    <a:blip r:embed="rId33">
                      <a:extLst>
                        <a:ext uri="{28A0092B-C50C-407E-A947-70E740481C1C}">
                          <a14:useLocalDpi xmlns:a14="http://schemas.microsoft.com/office/drawing/2010/main" val="0"/>
                        </a:ext>
                      </a:extLst>
                    </a:blip>
                    <a:srcRect l="10007" t="24706" r="67196" b="55969"/>
                    <a:stretch/>
                  </pic:blipFill>
                  <pic:spPr bwMode="auto">
                    <a:xfrm>
                      <a:off x="0" y="0"/>
                      <a:ext cx="1710690" cy="20516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D529F">
        <w:rPr>
          <w:rFonts w:cs="Times New Roman"/>
        </w:rPr>
        <w:t>un valor muy negativo durante algunos años (-17,2; 17,4; 17,7), y creciendo aún más a partir de los ocho (-25,2) y de los diez años de desempleo (-29,4). Estos datos muestran de nuevo la diversidad de situaciones existentes, e indican que el desempleo de larga duración llega a cronificarse en una estructura vivencial de profunda infelicidad. Estos datos se corresponden con resultados de recientes análisis realizados mediante encuestas panel (Clark, A.E., 2006), en los que se ha encontrado escasa evidencia,  al menos durante los años 90 en Europa, de que operen procesos de habituación en la experiencia del desempleo.</w:t>
      </w:r>
    </w:p>
    <w:p w14:paraId="53F1CC0E" w14:textId="4C695AEE" w:rsidR="0000205E" w:rsidRDefault="001560D6" w:rsidP="005D529F">
      <w:pPr>
        <w:rPr>
          <w:rFonts w:cs="Times New Roman"/>
        </w:rPr>
      </w:pPr>
      <w:r w:rsidRPr="005D529F">
        <w:rPr>
          <w:noProof/>
          <w:lang w:val="es-ES"/>
        </w:rPr>
        <w:drawing>
          <wp:anchor distT="0" distB="0" distL="114300" distR="114300" simplePos="0" relativeHeight="251680768" behindDoc="0" locked="0" layoutInCell="1" allowOverlap="1" wp14:anchorId="0B96327E" wp14:editId="1D2CBD33">
            <wp:simplePos x="0" y="0"/>
            <wp:positionH relativeFrom="column">
              <wp:posOffset>0</wp:posOffset>
            </wp:positionH>
            <wp:positionV relativeFrom="paragraph">
              <wp:posOffset>1463040</wp:posOffset>
            </wp:positionV>
            <wp:extent cx="2623820" cy="2283460"/>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5.6.pdf"/>
                    <pic:cNvPicPr/>
                  </pic:nvPicPr>
                  <pic:blipFill rotWithShape="1">
                    <a:blip r:embed="rId34">
                      <a:extLst>
                        <a:ext uri="{28A0092B-C50C-407E-A947-70E740481C1C}">
                          <a14:useLocalDpi xmlns:a14="http://schemas.microsoft.com/office/drawing/2010/main" val="0"/>
                        </a:ext>
                      </a:extLst>
                    </a:blip>
                    <a:srcRect l="10007" t="17442" r="55747" b="61503"/>
                    <a:stretch/>
                  </pic:blipFill>
                  <pic:spPr bwMode="auto">
                    <a:xfrm>
                      <a:off x="0" y="0"/>
                      <a:ext cx="2623820" cy="22834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257D9" w:rsidRPr="005D529F">
        <w:rPr>
          <w:rFonts w:cs="Times New Roman"/>
        </w:rPr>
        <w:t>En tanto catástrofe personal, el desempleo se caracteriza por el hecho de que los factores causantes del malestar permanecen activos en tanto perviva la situación (Anusic, 2014). Esto no sucede, por ejemplo, con la muerte de un familiar, o con el divorcio. Además, sus efectos perduran incluso después de que el desempleado haya encontrado empleo y vuelto a trabajar (Diener et al., 2006). Los datos de la Tabla de la Tabla 5.6 apuntan en esta misma dirección. Los europeos que, aún trabajando en la actualidad, han estado alguna vez desempleados durante doce meses consecutivos, cuentan con un grado de bienestar emocional (-4,1) bastante inferior al de los trabajadores en general (6,6). Esto puede ser debido a que el desempleo deje secuelas en el bienestar, o al hecho de que quienes han experimentado el desempleo ocupan una baja posición social. En cualquier caso, cuando un acontecimiento de vida negativo se repite, la capacidad del individuo para adaptarse queda afectada (Luhmann y Eid, 2009). Así, cuando coinciden “desempleo actual” y “desempleo en el pasado” el nivel de bienestar emocional, como puede comprobarse en la Tabla 5.6, se ve aún más reducido. En suma, una biografía laboral moteada por períodos de desempleo ejerce un gran impacto, reduciendo considerablemente la felicidad de las personas.</w:t>
      </w:r>
    </w:p>
    <w:p w14:paraId="4A63B039" w14:textId="77777777" w:rsidR="0000205E" w:rsidRDefault="00E257D9" w:rsidP="005D529F">
      <w:pPr>
        <w:rPr>
          <w:rFonts w:cs="Times New Roman"/>
        </w:rPr>
      </w:pPr>
      <w:r w:rsidRPr="005D529F">
        <w:rPr>
          <w:rFonts w:cs="Times New Roman"/>
        </w:rPr>
        <w:t xml:space="preserve">Por último, en este análisis de las relaciones existentes entre el desempleo y la felicidad, tenemos también la ocasión de comprobar un rasgo esencial de la naturaleza de las emociones y de los seres humanos. La información de la Tabla 5.7 demuestra que el desempleo influye en la felicidad, no sólo en tanto condición presente, objetiva y real, sino también en tanto condición futura y subjetiva, imaginada, anticipada o prevista. Los datos son suficientemente significativos y no dejar lugar a dudas. La probabilidad subjetivamente percibida que los trabajadores tienen de perder el empleo en un futuro próximo incide muy negativamente sobre el bienestar emocional presente. En Europa, el </w:t>
      </w:r>
      <w:r w:rsidRPr="005D529F">
        <w:rPr>
          <w:rFonts w:cs="Times New Roman"/>
        </w:rPr>
        <w:lastRenderedPageBreak/>
        <w:t xml:space="preserve">nivel de bienestar emocional de los trabajadores que creen ocupar un empleo seguro (12,7) es bastante más alto que el de los trabajadores en general (6,6), y muchísimo más alto que el de los trabajadores que estiman como muy probable o al menos probable </w:t>
      </w:r>
      <w:r w:rsidRPr="005D529F">
        <w:rPr>
          <w:noProof/>
          <w:lang w:val="es-ES"/>
        </w:rPr>
        <w:drawing>
          <wp:anchor distT="0" distB="0" distL="114300" distR="114300" simplePos="0" relativeHeight="251681792" behindDoc="0" locked="0" layoutInCell="1" allowOverlap="1" wp14:anchorId="71F48FDB" wp14:editId="6C08D1B0">
            <wp:simplePos x="0" y="0"/>
            <wp:positionH relativeFrom="column">
              <wp:posOffset>0</wp:posOffset>
            </wp:positionH>
            <wp:positionV relativeFrom="paragraph">
              <wp:posOffset>685800</wp:posOffset>
            </wp:positionV>
            <wp:extent cx="3295650" cy="1828800"/>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5.7.pdf"/>
                    <pic:cNvPicPr/>
                  </pic:nvPicPr>
                  <pic:blipFill rotWithShape="1">
                    <a:blip r:embed="rId35">
                      <a:extLst>
                        <a:ext uri="{28A0092B-C50C-407E-A947-70E740481C1C}">
                          <a14:useLocalDpi xmlns:a14="http://schemas.microsoft.com/office/drawing/2010/main" val="0"/>
                        </a:ext>
                      </a:extLst>
                    </a:blip>
                    <a:srcRect l="12008" t="17914" r="51128" b="67631"/>
                    <a:stretch/>
                  </pic:blipFill>
                  <pic:spPr bwMode="auto">
                    <a:xfrm>
                      <a:off x="0" y="0"/>
                      <a:ext cx="3295650" cy="18288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D529F">
        <w:rPr>
          <w:rFonts w:cs="Times New Roman"/>
        </w:rPr>
        <w:t>perder su empleo durante los próximos doce meses (-13,0). La diferencia de bienestar emocional entre ambos extremos es muy grande, tanto en Europa (25,7), como en España,  (19,2). Otros estudios muestran resultados similares y advierten de sus posibles consecuencias (Bryson et al. 2012). En efecto, la inseguridad laboral en sí misma altera profundamente la estructura emocional de los trabajadores, deteriorando dramáticamente su bienestar socioemocional, y anticipando subjetivamente en ellos las verdaderas consecuencias, reales y objetivas, que el desempleo pudiera causarles. De este modo, el miedo al desempleo futuro se incorpora de lleno en el tiempo presente de la vivencia de los trabajadores, alterando así tanto sus conductas como sus demandas socio-laborales. En un tiempo de intensa crisis económica y del mercado de trabajo, el miedo deja de ser patrimonio exclusivo del trabajador inseguro, transformándose en un clima emocional generalizado que altera profundamente las relaciones entre el trabajo y el bienestar subjetivo de la población. En suma, la subjetividad deviene objetividad.</w:t>
      </w:r>
    </w:p>
    <w:p w14:paraId="70954949" w14:textId="77777777" w:rsidR="0000205E" w:rsidRDefault="00E257D9" w:rsidP="00456CE6">
      <w:pPr>
        <w:pStyle w:val="Ttulo2"/>
      </w:pPr>
      <w:bookmarkStart w:id="83" w:name="_Toc311991810"/>
      <w:bookmarkStart w:id="84" w:name="_Toc311993039"/>
      <w:r w:rsidRPr="005D529F">
        <w:t>5.5 Personas divorciada</w:t>
      </w:r>
      <w:r w:rsidR="00DD4D7B" w:rsidRPr="005D529F">
        <w:t>s y personas viudas</w:t>
      </w:r>
      <w:bookmarkEnd w:id="83"/>
      <w:bookmarkEnd w:id="84"/>
    </w:p>
    <w:p w14:paraId="13738D82" w14:textId="77777777" w:rsidR="0000205E" w:rsidRDefault="00E257D9" w:rsidP="005D529F">
      <w:pPr>
        <w:rPr>
          <w:rFonts w:cs="Times New Roman"/>
        </w:rPr>
      </w:pPr>
      <w:r w:rsidRPr="005D529F">
        <w:rPr>
          <w:rFonts w:cs="Times New Roman"/>
        </w:rPr>
        <w:t>Poetas, filósofos y científicos sociales de todas las épocas han afirmado que la calidad y cantidad de las relaciones sociales de una persona constituye un factor determinante de su felicidad. Emile Durkheim, en El suicidio, una obra clásica de la investigación sociológica, ya demostró que la vida familiar protege tanto contra la anomia como contra el suicidio. Otros muchos estudios, bastante más recientes (Argyle, 2001) (Haller y Hadler, 2006), también han demostrado que estar casado o viviendo en pareja incrementa el bienestar emocional de las personas. En efecto, como puede verse en la Tabla 5.8, el Índice de Bienestar Socioemocional de los casados es superior al de la población total, tanto en España (-1,8 frente a -3,4), como en Europa (4,8 frente a 1,5).</w:t>
      </w:r>
    </w:p>
    <w:p w14:paraId="0722B7AD" w14:textId="77777777" w:rsidR="0000205E" w:rsidRDefault="00E257D9" w:rsidP="005D529F">
      <w:pPr>
        <w:rPr>
          <w:rFonts w:cs="Times New Roman"/>
        </w:rPr>
      </w:pPr>
      <w:r w:rsidRPr="005D529F">
        <w:rPr>
          <w:rFonts w:cs="Times New Roman"/>
        </w:rPr>
        <w:t xml:space="preserve">Siendo esto así, podríamos preguntarnos cual es el grado de bienestar emocional de las personas en el caso de que hayan de enfrentarse a la pérdida de su cónyuge o pareja. En principio, habremos de suponer que la pérdida de la pareja, al crear un importante vacío en el núcleo de la red social del sujeto, alterando dramáticamente uno de los soportes principales de la sociabilidad, modificará substancialmente la felicidad de las personas. </w:t>
      </w:r>
      <w:r w:rsidRPr="005D529F">
        <w:rPr>
          <w:rFonts w:cs="Times New Roman"/>
        </w:rPr>
        <w:lastRenderedPageBreak/>
        <w:t>Ahora bien, las consecuencias emocionales de cualquier  catástrofe en la convivencia, sea por causa de divorcio o de viudedad, dependerá de las características concretas de cada acontecimiento vital, así como del proceso biográfico subsiguiente. La duración y la voluntariedad del acontecimiento podrían citarse, a modo de ejemplo, como algunas de estas características. La duración del vacío generado por la pérdida de la pareja puede ser extremadamente variable, oscilando entre quienes tienen una nueva pareja aún antes de haberse divorciado, y aquellas otras personas que, tras el divorcio o la defunción del cónyuge, ya no desean o no consiguen rehacer su vida afectiva. En general, mientras que el divorcio tiende a ser hoy un estado puramente transitorio, la viudedad, posiblemente debido a la mayor edad a la que suele morir el cónyuge, o posiblemente debido a que la mayoría son viudas que muestran escaso interés en contraer nuevas nupcias, tiende a ser un estado mucho más prolongado, e incluso permanente. Con respecto a la voluntariedad, es obvio que la defunción del cónyuge es un hecho sobrevenido, mientras que el divorcio, al menos para uno de los cónyuges, cuando no para ambos, constituye el resultado de una decisión condicionada pero voluntaria.</w:t>
      </w:r>
    </w:p>
    <w:p w14:paraId="76C581C3" w14:textId="520F7E61" w:rsidR="0000205E" w:rsidRDefault="00456CE6" w:rsidP="005D529F">
      <w:pPr>
        <w:rPr>
          <w:rFonts w:cs="Times New Roman"/>
        </w:rPr>
      </w:pPr>
      <w:r w:rsidRPr="005D529F">
        <w:rPr>
          <w:noProof/>
          <w:lang w:val="es-ES"/>
        </w:rPr>
        <w:drawing>
          <wp:anchor distT="0" distB="0" distL="114300" distR="114300" simplePos="0" relativeHeight="251682816" behindDoc="0" locked="0" layoutInCell="1" allowOverlap="1" wp14:anchorId="7D91F3FF" wp14:editId="2CCE52AE">
            <wp:simplePos x="0" y="0"/>
            <wp:positionH relativeFrom="column">
              <wp:posOffset>0</wp:posOffset>
            </wp:positionH>
            <wp:positionV relativeFrom="paragraph">
              <wp:posOffset>913765</wp:posOffset>
            </wp:positionV>
            <wp:extent cx="2400300" cy="2280285"/>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5.8.pdf"/>
                    <pic:cNvPicPr/>
                  </pic:nvPicPr>
                  <pic:blipFill rotWithShape="1">
                    <a:blip r:embed="rId36">
                      <a:extLst>
                        <a:ext uri="{28A0092B-C50C-407E-A947-70E740481C1C}">
                          <a14:useLocalDpi xmlns:a14="http://schemas.microsoft.com/office/drawing/2010/main" val="0"/>
                        </a:ext>
                      </a:extLst>
                    </a:blip>
                    <a:srcRect l="10000" t="24514" r="62979" b="57339"/>
                    <a:stretch/>
                  </pic:blipFill>
                  <pic:spPr bwMode="auto">
                    <a:xfrm>
                      <a:off x="0" y="0"/>
                      <a:ext cx="2400300" cy="22802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257D9" w:rsidRPr="005D529F">
        <w:rPr>
          <w:rFonts w:cs="Times New Roman"/>
        </w:rPr>
        <w:t xml:space="preserve">Ahora bien, la información empírica de la Tabla 5.8 muestra que, pese a la transitoriedad y voluntariedad del divorcio, las personas que se encuentran en esta situación de convivencia tienen, al menos un España un grado de bienestar emocional muy bajo, equivalente a un puntuación de </w:t>
      </w:r>
      <w:r w:rsidR="00E257D9" w:rsidRPr="005D529F">
        <w:rPr>
          <w:rFonts w:cs="Times New Roman"/>
        </w:rPr>
        <w:noBreakHyphen/>
        <w:t xml:space="preserve">20,1 en el IBSE. El hecho de que el bienestar emocional de los “separados” (-27,4) sea menor que el de los “divorciados” muestra dos fenómenos interesantes. Primero, que el proceso de separación que conduce finalmente al divorcio, como todo el mundo sabe, está plagado de tensiones, lo que sin duda constituye una fuente de malestar emocional. Segundo, y teniendo en cuenta que la separación antecede al divorcio, el mayor bienestar emocional de los divorciados puede ser un indicio de que la catástrofe emocional se va diluyendo conforme pasa el tiempo, o de que las personas divorciadas, a diferencia de lo que sucedía con los discapacitados o los desempleados, se van adaptando poco a poco a su nueva situación. Aunque algunos estudios concluyen que el impacto emocional del divorcio perdura más de lo que inicialmente pudiera creerse, y que los divorciados no recuperan del todo su nivel precedente de felicidad (Lucas, 2005) (Diener et al, 2006), otros estudios muestran que los/as divorciados/as se van adaptando y recuperan poco a poco el bienestar emocional (Helliwell, 2002). Cuando vuelven a convivir con una nueva pareja, o a contraer un nuevo matrimonio, la recuperación puede llegar a ser total (Veenhoven, 1984:363). En efecto, nuestros datos muestran que el ISBE de los europeos actualmente casados, pero que han estado divorciados anteriormente (5,0), no difiere de los casados que nunca se han divorciado (4,8). Por último, el hecho de que el IBSE de los </w:t>
      </w:r>
      <w:r w:rsidR="00E257D9" w:rsidRPr="005D529F">
        <w:rPr>
          <w:rFonts w:cs="Times New Roman"/>
        </w:rPr>
        <w:lastRenderedPageBreak/>
        <w:t>divorciados en Europa no sea extraordinariamente bajo (</w:t>
      </w:r>
      <w:r w:rsidR="00E257D9" w:rsidRPr="005D529F">
        <w:rPr>
          <w:rFonts w:cs="Times New Roman"/>
        </w:rPr>
        <w:noBreakHyphen/>
        <w:t>8,4), podría indicar que el impacto emocional del divorcio decrece en las sociedades avanzadas en la medida que estas asumen este proceso de ruptura de la convivencia en el marco de una normalidad institucional, legal, cultural y personal.</w:t>
      </w:r>
    </w:p>
    <w:p w14:paraId="0E8391D0" w14:textId="77777777" w:rsidR="0000205E" w:rsidRDefault="00E257D9" w:rsidP="005D529F">
      <w:pPr>
        <w:rPr>
          <w:rFonts w:cs="Times New Roman"/>
        </w:rPr>
      </w:pPr>
      <w:r w:rsidRPr="005D529F">
        <w:rPr>
          <w:rFonts w:cs="Times New Roman"/>
        </w:rPr>
        <w:t>En todo caso, actualmente en España sigue existiendo una gran diferencia entre el grado de felicidad de las personas casadas (-1,8) y el de las divorciadas (-20,1), diferencia equivalente a 18,3 puntos del IBSE. Ahora bien, como puede verse en la Taba 8.2 del capítulo octavo, esta diferencia es mucho mayor en el caso de los hombres (28,7) que en el de las mujeres (9,0). El nivel de bienestar emocional de los hombres divorciados (</w:t>
      </w:r>
      <w:r w:rsidRPr="005D529F">
        <w:rPr>
          <w:rFonts w:cs="Times New Roman"/>
        </w:rPr>
        <w:noBreakHyphen/>
        <w:t>22,0) es mucho menor que el de los hombres casados, mostrando hasta qué punto la felicidad de los hombres depende de la institución matrimonial. Sin embargo, el bienestar emocional de las mujeres divorciadas (</w:t>
      </w:r>
      <w:r w:rsidRPr="005D529F">
        <w:rPr>
          <w:rFonts w:cs="Times New Roman"/>
        </w:rPr>
        <w:noBreakHyphen/>
        <w:t>18,4) es tan solo algo menor que el de las casadas (</w:t>
      </w:r>
      <w:r w:rsidRPr="005D529F">
        <w:rPr>
          <w:rFonts w:cs="Times New Roman"/>
        </w:rPr>
        <w:noBreakHyphen/>
        <w:t>9,4). En Europa, la diferencia de felicidad existe entre os casados y los divorciados (13,4) es muy similar a la que existe entre las casadas y las divorciadas (11,2), información que refuerza la idea expuesta en las últimas líneas del párrafo anterior.</w:t>
      </w:r>
    </w:p>
    <w:p w14:paraId="3391CBE2" w14:textId="77777777" w:rsidR="0000205E" w:rsidRDefault="00E257D9" w:rsidP="005D529F">
      <w:pPr>
        <w:rPr>
          <w:rFonts w:cs="Times New Roman"/>
        </w:rPr>
      </w:pPr>
      <w:r w:rsidRPr="005D529F">
        <w:rPr>
          <w:rFonts w:cs="Times New Roman"/>
        </w:rPr>
        <w:t>La Tabla 5.8 también incluye información empírica sobre el grado de felicidad de las personas viudas, información que demuestra que la estructura afectiva de las viudas y viudos españoles está caracterizada por un bienestar emocional especialmente bajo (</w:t>
      </w:r>
      <w:r w:rsidRPr="005D529F">
        <w:rPr>
          <w:rFonts w:cs="Times New Roman"/>
        </w:rPr>
        <w:noBreakHyphen/>
        <w:t>32,3), siendo además mucho más bajo que el de los europeos (-21,0).  En comparación con el bienestar emocional de los casados, las personas viudas experimentan en España una disminución de la felicidad equivalente a 30,5 puntos del IBSE, disminución que también es sensiblemente mayor europea, que equivale a 25,6 puntos de la escala. Ahora bien, dado que este colectivo está formado en su mayor parte por viudas, interesa especialmente conocer cuál es el grado de felicidad de las viudas y viudos. Pues bien, estimando su respectivo IBSE, tanto en España como en Europa, se comprueba que existen entre ambos una diferencia realmente abrumadora. En España, el bienestar emocional de los viudos (</w:t>
      </w:r>
      <w:r w:rsidRPr="005D529F">
        <w:rPr>
          <w:rFonts w:cs="Times New Roman"/>
        </w:rPr>
        <w:noBreakHyphen/>
        <w:t>14,3) es mucho mejor que el de la viudas (</w:t>
      </w:r>
      <w:r w:rsidRPr="005D529F">
        <w:rPr>
          <w:rFonts w:cs="Times New Roman"/>
        </w:rPr>
        <w:noBreakHyphen/>
        <w:t>36,2), llegando a alcanzar estas últimas niveles propios de estructuras afectivas de neta insatisfacción e infelicidad. En este análisis encontramos además una información empírica realmente sorprendente: mientras los viudos españoles muestran unos grados de felicidad prácticamente iguales al de los europeos (</w:t>
      </w:r>
      <w:r w:rsidRPr="005D529F">
        <w:rPr>
          <w:rFonts w:cs="Times New Roman"/>
        </w:rPr>
        <w:noBreakHyphen/>
        <w:t>13,8), el grado de felicidad de las viudas es muy inferior al que las viudas en Europa (</w:t>
      </w:r>
      <w:r w:rsidRPr="005D529F">
        <w:rPr>
          <w:rFonts w:cs="Times New Roman"/>
        </w:rPr>
        <w:noBreakHyphen/>
        <w:t>22,9). Dicho de otra forma, estos datos demuestran la existencia de una asimetría de género que solo cabe explicar por la exclusión social que sufre este colectivo en España. En suma, es evidente que, en España, las viudas forman parte de un colectivo social excluido de la felicidad.</w:t>
      </w:r>
    </w:p>
    <w:p w14:paraId="7E8E3A06" w14:textId="3D6C3389" w:rsidR="0000205E" w:rsidRDefault="00E257D9" w:rsidP="005D529F">
      <w:pPr>
        <w:rPr>
          <w:rFonts w:cs="Times New Roman"/>
        </w:rPr>
      </w:pPr>
      <w:r w:rsidRPr="005D529F">
        <w:rPr>
          <w:rFonts w:cs="Times New Roman"/>
        </w:rPr>
        <w:t xml:space="preserve">En este momento, y teniendo en cuenta que la mayor parte de las viudas y viudos son personas mayores, es necesario preguntarse si el impacto emocional de la viudedad es temporal o si, por el contario, perdura en el tiempo. A diferencia del divorcio, los resultados de las investigaciones realizadas sobre la viudedad demuestran que, primero, su impacto emocional es más perdurable y, segundo, que las personas viudas ya no recuperan los niveles de bienestar precedentes (Veenhoven, 1991) (Lucas, et al., 2003) </w:t>
      </w:r>
      <w:r w:rsidR="00456CE6" w:rsidRPr="005D529F">
        <w:rPr>
          <w:noProof/>
          <w:lang w:val="es-ES"/>
        </w:rPr>
        <w:lastRenderedPageBreak/>
        <w:drawing>
          <wp:anchor distT="0" distB="0" distL="114300" distR="114300" simplePos="0" relativeHeight="251683840" behindDoc="0" locked="0" layoutInCell="1" allowOverlap="1" wp14:anchorId="3C3A8DE2" wp14:editId="46578570">
            <wp:simplePos x="0" y="0"/>
            <wp:positionH relativeFrom="column">
              <wp:posOffset>0</wp:posOffset>
            </wp:positionH>
            <wp:positionV relativeFrom="paragraph">
              <wp:posOffset>114300</wp:posOffset>
            </wp:positionV>
            <wp:extent cx="2469515" cy="2171700"/>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5.9.pdf"/>
                    <pic:cNvPicPr/>
                  </pic:nvPicPr>
                  <pic:blipFill rotWithShape="1">
                    <a:blip r:embed="rId37">
                      <a:extLst>
                        <a:ext uri="{28A0092B-C50C-407E-A947-70E740481C1C}">
                          <a14:useLocalDpi xmlns:a14="http://schemas.microsoft.com/office/drawing/2010/main" val="0"/>
                        </a:ext>
                      </a:extLst>
                    </a:blip>
                    <a:srcRect l="10007" t="10843" r="57126" b="68734"/>
                    <a:stretch/>
                  </pic:blipFill>
                  <pic:spPr bwMode="auto">
                    <a:xfrm>
                      <a:off x="0" y="0"/>
                      <a:ext cx="2469515" cy="21717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D529F">
        <w:rPr>
          <w:rFonts w:cs="Times New Roman"/>
        </w:rPr>
        <w:t>(Bonano, et al, 2004) (Diener, et al, 2006). Dado que algunas investigaciones han encontrado que el deterioro de la felicidad en las personas viudas puede ser debido a los efectos de la edad, y no tanto al efecto directo que pueda producir la pérdida del esposo o de la esposa (Anusic et al, 2014), hemos estimado el IBSE de las personas casadas y viudas mayores de 60 años de edad, según cohortes quinquenales. Los datos, incluidos en la Tabla 5.9, muestran claramente que las diferencias en el grado de felicidad de las personas casadas y de las viudas se mantienen muy altas, y más o menos estables, a lo largo de todo el ciclo vital. Y este resultado ha de interpretarse en el sentido de que, independientemente de la edad, el hecho de haber enviudado, en comparación con seguir casado o en pareja, tiene por consecuencias disfrutar de un menor nivel de bienestar emocional.</w:t>
      </w:r>
    </w:p>
    <w:p w14:paraId="4DE5CB40" w14:textId="6CCADC24" w:rsidR="00E257D9" w:rsidRPr="005D529F" w:rsidRDefault="00E257D9" w:rsidP="005D529F">
      <w:pPr>
        <w:rPr>
          <w:rFonts w:cs="Times New Roman"/>
        </w:rPr>
      </w:pPr>
      <w:r w:rsidRPr="005D529F">
        <w:rPr>
          <w:noProof/>
          <w:lang w:val="es-ES"/>
        </w:rPr>
        <w:drawing>
          <wp:anchor distT="0" distB="0" distL="114300" distR="114300" simplePos="0" relativeHeight="251684864" behindDoc="0" locked="0" layoutInCell="1" allowOverlap="1" wp14:anchorId="2253B47E" wp14:editId="42DFA2D3">
            <wp:simplePos x="0" y="0"/>
            <wp:positionH relativeFrom="column">
              <wp:posOffset>-635</wp:posOffset>
            </wp:positionH>
            <wp:positionV relativeFrom="paragraph">
              <wp:posOffset>1497330</wp:posOffset>
            </wp:positionV>
            <wp:extent cx="3122295" cy="247777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5.10.pdf"/>
                    <pic:cNvPicPr/>
                  </pic:nvPicPr>
                  <pic:blipFill rotWithShape="1">
                    <a:blip r:embed="rId38">
                      <a:extLst>
                        <a:ext uri="{28A0092B-C50C-407E-A947-70E740481C1C}">
                          <a14:useLocalDpi xmlns:a14="http://schemas.microsoft.com/office/drawing/2010/main" val="0"/>
                        </a:ext>
                      </a:extLst>
                    </a:blip>
                    <a:srcRect l="10007" t="32999" r="54465" b="47077"/>
                    <a:stretch/>
                  </pic:blipFill>
                  <pic:spPr bwMode="auto">
                    <a:xfrm>
                      <a:off x="0" y="0"/>
                      <a:ext cx="3122295" cy="24777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D529F">
        <w:rPr>
          <w:rFonts w:cs="Times New Roman"/>
        </w:rPr>
        <w:t xml:space="preserve">Para concluir este análisis preliminar del bienestar emocional de las viudas y viudos españoles y europeos, en la Tabla 5.10 se ofrecen los porcentajes de personas felices, contentas, satisfechas, insatisfechas e infelices que hay en cada una de las cuatro submuestras de población. Aquí se puede ver con toda claridad cual es la situación emocional de las viudas españolas, pues las estimaciones empíricas presentadas demuestran que la mitad de ellas, exactamente un 49,8%, se sienten insatisfechas o infelices. Como hemos visto anteriormente, este porcentaje es veinte puntos superior al de los viudos (28,8%), y también catorce puntos superior al de las viudas europeas (35,8%). Considerando esta información, es evidente que el hecho de haber perdido a su esposo o pareja no puede ser la única causa de su malestar (Arens, 1984). Es necesario considerar que para muchas mujeres la viudedad inaugura una fase de notable precariedad económica; que la pérdida de la pareja puede condicionar una reducción de sus niveles de actividad y de participación social; o que el estado de salud de las personas viudas suele ser peor que el de las casadas. Ahora bien, independientemente de los factores causantes de este profundo malestar, desde la perspectiva de la política social de un país que se muestre sensible al sufrimiento de la gente, es preciso reconocer en primer </w:t>
      </w:r>
      <w:r w:rsidRPr="005D529F">
        <w:rPr>
          <w:rFonts w:cs="Times New Roman"/>
        </w:rPr>
        <w:lastRenderedPageBreak/>
        <w:t>lugar la magnitud del problema, esto es, el grado en que las personas viudas, y muy especialmente las mujeres viudas, están excluidas de la felicidad.</w:t>
      </w:r>
    </w:p>
    <w:p w14:paraId="0C3D8246" w14:textId="77777777" w:rsidR="005C237C" w:rsidRDefault="005C237C" w:rsidP="005D529F">
      <w:pPr>
        <w:rPr>
          <w:rFonts w:cs="Times New Roman"/>
        </w:rPr>
      </w:pPr>
    </w:p>
    <w:p w14:paraId="6C703DD9" w14:textId="77777777" w:rsidR="005C237C" w:rsidRDefault="005C237C" w:rsidP="005D529F">
      <w:pPr>
        <w:rPr>
          <w:rFonts w:cs="Times New Roman"/>
        </w:rPr>
        <w:sectPr w:rsidR="005C237C" w:rsidSect="00A655B0">
          <w:headerReference w:type="default" r:id="rId39"/>
          <w:pgSz w:w="11900" w:h="16840"/>
          <w:pgMar w:top="2041" w:right="1814" w:bottom="1758" w:left="1814" w:header="709" w:footer="709" w:gutter="0"/>
          <w:pgNumType w:start="66"/>
          <w:cols w:space="708"/>
          <w:titlePg/>
          <w:docGrid w:linePitch="360"/>
        </w:sectPr>
      </w:pPr>
    </w:p>
    <w:p w14:paraId="74B2E879" w14:textId="77777777" w:rsidR="0000205E" w:rsidRDefault="009C208A" w:rsidP="005C237C">
      <w:pPr>
        <w:pStyle w:val="Ttulo1"/>
      </w:pPr>
      <w:bookmarkStart w:id="85" w:name="_Toc311991811"/>
      <w:bookmarkStart w:id="86" w:name="_Toc311993040"/>
      <w:bookmarkStart w:id="87" w:name="_Toc311998418"/>
      <w:r w:rsidRPr="005D529F">
        <w:lastRenderedPageBreak/>
        <w:t>6  Exclusiones sociales I. El respeto</w:t>
      </w:r>
      <w:bookmarkEnd w:id="85"/>
      <w:bookmarkEnd w:id="86"/>
      <w:bookmarkEnd w:id="87"/>
    </w:p>
    <w:p w14:paraId="30E1DA5D" w14:textId="77777777" w:rsidR="0000205E" w:rsidRDefault="00F94109" w:rsidP="005C237C">
      <w:pPr>
        <w:pStyle w:val="Ttulo2"/>
      </w:pPr>
      <w:bookmarkStart w:id="88" w:name="_Toc311991812"/>
      <w:bookmarkStart w:id="89" w:name="_Toc311993041"/>
      <w:r w:rsidRPr="005D529F">
        <w:t xml:space="preserve">6.1 </w:t>
      </w:r>
      <w:r w:rsidR="009C208A" w:rsidRPr="005D529F">
        <w:t xml:space="preserve"> Esbozo de una teoría sociológica de la infelicidad</w:t>
      </w:r>
      <w:bookmarkEnd w:id="88"/>
      <w:bookmarkEnd w:id="89"/>
    </w:p>
    <w:p w14:paraId="334F570C" w14:textId="77777777" w:rsidR="0000205E" w:rsidRDefault="009C208A" w:rsidP="005D529F">
      <w:pPr>
        <w:rPr>
          <w:rFonts w:cs="Times New Roman"/>
        </w:rPr>
      </w:pPr>
      <w:r w:rsidRPr="005D529F">
        <w:rPr>
          <w:rFonts w:cs="Times New Roman"/>
        </w:rPr>
        <w:t>Toda exclusión social remite al hecho de que la propia sociedad priva a un conjunto de individuos, en virtud de su pertenencia a una categoría, colectivo o grupo social, de alguno o varios de los elementos esenciales y constituyentes de la buena vida. La exclusión social siempre opera configurando una identidad marginal distintiva. Esta identidad no sólo garantiza el mantenimiento de la privación a la que se somete a los individuos así excluidos, sino que también opera naturalizando, legitimando y encubriendo las desigualdades que encierra. Dado que es altamente probable que toda exclusión social tenga consecuencias sobre la estructura emocional de las personas, es muy necesario comprobar si, y hasta qué punto, los excluidos sociales también quedan excluidos de la felicidad. Por este motivo, en este capítulo y en el siguiente se exploran las consecuencias afectivas de algunas exclusiones sociales.</w:t>
      </w:r>
    </w:p>
    <w:p w14:paraId="60D63B9B" w14:textId="77777777" w:rsidR="0000205E" w:rsidRDefault="009C208A" w:rsidP="005D529F">
      <w:pPr>
        <w:rPr>
          <w:rFonts w:cs="Times New Roman"/>
        </w:rPr>
      </w:pPr>
      <w:r w:rsidRPr="005D529F">
        <w:rPr>
          <w:rFonts w:cs="Times New Roman"/>
        </w:rPr>
        <w:t>Desde que Bradburn (1969) inaugurara los modernos estudios científicos sobre el bienestar subjetivo, se hizo evidente que las emociones positivas y negativas no estaban correlacionadas como lo están los polos opuestos de una mismo eje. De hecho, las pruebas empíricas pronto demostraron fehacientemente que los estados emocionales positivos y negativos configuran dimensiones distintas, y en gran parte incorrelacionadas,  de la afectividad humana. Siguiendo esta misma línea interpretativa, debemos suponer que ni la felicidad es mera ausencia de sufrimiento, ni la infelicidad mera falta de alegría o contento. Y si esto es efectivamente así, debemos suponer, también, que las cosas que pueden hacernos plenamente felices, no son las mismas que las que pueden hacernos profundamente desgraciados. Gran parte de la reciente investigación científica sobre el bienestar subjetivo está orientada al conocimiento de los factores antecedentes de la felicidad humana, sobre todo considerando su polo positivo, y sobre desde una perspectiva individual. Es por esto que el concepto de florecimiento, y los diversos índices empíricos a los que ha dado lugar (Diener et al., 2010) (Seligman, 2011) (Huppert et al., 2013), esté hoy en día tan en boga, en consonancia con la cultura psicoterapéutica individualista y expresivista que predomina actualmente en las sociedades avanzadas y posmodernas.</w:t>
      </w:r>
    </w:p>
    <w:p w14:paraId="08BDFC6C" w14:textId="77777777" w:rsidR="0000205E" w:rsidRDefault="009C208A" w:rsidP="005D529F">
      <w:pPr>
        <w:rPr>
          <w:rFonts w:cs="Times New Roman"/>
        </w:rPr>
      </w:pPr>
      <w:r w:rsidRPr="005D529F">
        <w:rPr>
          <w:rFonts w:cs="Times New Roman"/>
        </w:rPr>
        <w:t xml:space="preserve">Sin embargo, en el marco de un proyecto netamente sociológico, inspirado por el principio de la menor infelicidad para el mayor número, un proyecto que pretende analizar la exclusión de la felicidad, y especialmente el papel que desempeñan las exclusiones sociales en la formación de estructuras afectivas caracterizadas por un intenso malestar emocional, es fundamental establecer, si quiera en tanto esbozo preliminar, los elementos fundamentales de una teoría sociológica de la infelicidad. Esta teoría debería enumerar los mecanismos causales más relevantes que vinculan la </w:t>
      </w:r>
      <w:r w:rsidRPr="005D529F">
        <w:rPr>
          <w:rFonts w:cs="Times New Roman"/>
        </w:rPr>
        <w:lastRenderedPageBreak/>
        <w:t>exclusión social y la exclusión de la felicidad. Pues bien, el modelo en el que esta teoría de la infelicidad se basa incluye tres privaciones fundamentales, a saber, la falta de respeto, la falta de dinero y la falta de sentido. Se parte del supuesto de que ni el respeto, ni el dinero, ni el sentido son capaces de ofrecer una vivencia de plena felicidad. Ahora bien, a la inversa, la carencia de cualquiera de estos tres factores, humanamente esenciales, conduce directamente a la infelicidad. Aunque abunda la literatura científica sobre estos factores causales, la revisión realizada por Ryan y Deci (2001:152-157) es especialmente atinada y relevante.</w:t>
      </w:r>
    </w:p>
    <w:p w14:paraId="601BC84D" w14:textId="77777777" w:rsidR="0000205E" w:rsidRDefault="009C208A" w:rsidP="005D529F">
      <w:pPr>
        <w:rPr>
          <w:rFonts w:cs="Times New Roman"/>
        </w:rPr>
      </w:pPr>
      <w:r w:rsidRPr="005D529F">
        <w:rPr>
          <w:rFonts w:cs="Times New Roman"/>
        </w:rPr>
        <w:t>El respeto, el reconocimiento de que cualquier ser humano, por el simple hecho de serlo, merece un trato personal especial mediante el que se le ha de atribuir suficiente valor, evitando el desprecio, la indiferencia, el desaire o la repulsa, constituye un elemento clave de la buena vida y, por ende, hemos de suponer que su carencia, esto es, las faltas de respeto, provocarán directamente sufrimiento e infelicidad. Desde tiempos inmemoriales se sabe que falta de respecto opera como un mecanismo clave tanto en la exclusión como en la estratificación social. Ahora bien, el trato respetuoso, en cuanto define el nivel mínimo de calidad que han de tener nuestras relaciones sociales, no es suficiente para lograr la felicidad. En el ámbito de la sociabilidad humana, solo en el amor podemos alcanzar la felicidad.</w:t>
      </w:r>
    </w:p>
    <w:p w14:paraId="42433B75" w14:textId="77777777" w:rsidR="0000205E" w:rsidRDefault="009C208A" w:rsidP="005D529F">
      <w:pPr>
        <w:rPr>
          <w:rFonts w:cs="Times New Roman"/>
        </w:rPr>
      </w:pPr>
      <w:r w:rsidRPr="005D529F">
        <w:rPr>
          <w:rFonts w:cs="Times New Roman"/>
        </w:rPr>
        <w:t xml:space="preserve">Toda exclusión social implica una grave restricción de los recursos al alcance del sujeto tanto para afrontar las dificultades y problemas que se le presenten, evitando o controlando así las situaciones que puedan causarle un sufrimiento  o dolor indeseables, como para crear o buscar oportunidades vitales que le puedan proporcionar algunas alegrías o placeres. Pese a la existencia  de una amplísima variedad de recursos, en las sociedades capitalistas el dinero constituye el equivalente general clave que en mayor grado determina la dotación de recursos disponibles por cada persona. En las sociedades hipermodernas y del conocimiento, además del dinero habría que considerar el logro educativo, pues  opera como un mecanismo regulador de la distribución desigualitaria de dinero, controlando tanto el acceso a puestos de trabajo diferentemente remunerados, como a posiciones sociales con distinto nivel de estatus. Ahora bien, aunque el dinero y los recursos tanto materiales como económicos son capaces de evitar los sufrimientos derivados de nuestra incapacidad para satisfacer un amplio conjunto de necesidades básicas, sean fisiológicas o de seguridad física, son al mismo tiempo y por los mismos motivos incapaces de satisfacer las necesidades superiores que caracterizan propiamente la naturaleza humana. Estos recursos nada tienen que ver con la virtud aristotélica y, por tanto, no pueden ofrecernos plena felicidad. En el ámbito de los recursos al alcance del ser humano, solamente la sabiduría puede hacernos realmente felices. </w:t>
      </w:r>
    </w:p>
    <w:p w14:paraId="2801D7E2" w14:textId="77777777" w:rsidR="0000205E" w:rsidRDefault="009C208A" w:rsidP="005D529F">
      <w:pPr>
        <w:rPr>
          <w:rFonts w:cs="Times New Roman"/>
        </w:rPr>
      </w:pPr>
      <w:r w:rsidRPr="005D529F">
        <w:rPr>
          <w:rFonts w:cs="Times New Roman"/>
        </w:rPr>
        <w:t xml:space="preserve">En la interpretación eudamónica de la felicidad, el sentido que los propios individuos otorguen a sus vidas configura el sustrato básico que nutre el bienestar emocional. Una vida carente de sentido engendra un terrible vacío en el seno de la existencia. La falta de sentido arrastra ineluctablemente al sujeto hacia el aburrimiento más estéril y hacia el tedio más radical, privando a la persona de la motivación y energía emocional suficiente </w:t>
      </w:r>
      <w:r w:rsidRPr="005D529F">
        <w:rPr>
          <w:rFonts w:cs="Times New Roman"/>
        </w:rPr>
        <w:lastRenderedPageBreak/>
        <w:t>para animar la vida, evitando así, al menos, el desaliento, la desesperanza y la desolación. Aunque el sentido de la vida se nutre de todas las dimensiones del ser, está íntimamente relacionado con su hacer, esto es, se fundamenta en la carga de  significado vital que aporten las actividades realizadas por el sujeto. La exclusión social, privando a los individuos que la sufren de una participación activa y plena en la sociedad, sea en su vida económica, cultural o laboral, restringe severamente la posibilidad de que los sujetos excluidos puedan dotar sus vidas con el suficiente sentido, causándoles así la obligada infelicidad. Ahora bien, aunque la falta de sentido es causa de ansiedad, sufrimiento y depresión, el sentido, por sí mismo, no puede prometernos una vida plena y completamente feliz. En el ámbito de la actividad humana, solamente los logros y realizaciones acordes con el sentido que otorguemos a nuestras vida podrán, al menos de vez en cuando, hacer que sentimos algo parecido a la felicidad.</w:t>
      </w:r>
    </w:p>
    <w:p w14:paraId="13393602" w14:textId="77777777" w:rsidR="0000205E" w:rsidRDefault="009C208A" w:rsidP="005D529F">
      <w:pPr>
        <w:rPr>
          <w:rFonts w:cs="Times New Roman"/>
        </w:rPr>
      </w:pPr>
      <w:r w:rsidRPr="005D529F">
        <w:rPr>
          <w:rFonts w:cs="Times New Roman"/>
        </w:rPr>
        <w:t>En suma, la teoría sociológica de la infelicidad sostiene que las carencias de respeto, de dinero y de sentido, establecidas mediante lógicas y procesos de desigualdad, de discriminación y de exclusión social, constituyen las tres principales privaciones causantes de malestar emocional en nuestra sociedad. Es una teoría asimétrica porque, al mismo tiempo, niega que el respeto, el dinero o el sentido puedan garantizar por sí solos una vida plenamente feliz. Para ser felices, además de contar con un nivel suficiente de respeto, de dinero y de sentido, los seres humanos necesitan amar a y ser amados por alguien, les hace falta una buena dosis de sabiduría de la vida, y requieren al menos alcanzar algunos logros.</w:t>
      </w:r>
    </w:p>
    <w:p w14:paraId="7E546301" w14:textId="77777777" w:rsidR="0000205E" w:rsidRDefault="00F94109" w:rsidP="005C237C">
      <w:pPr>
        <w:pStyle w:val="Ttulo2"/>
      </w:pPr>
      <w:bookmarkStart w:id="90" w:name="_Toc311991813"/>
      <w:bookmarkStart w:id="91" w:name="_Toc311993042"/>
      <w:r w:rsidRPr="005D529F">
        <w:t xml:space="preserve">6.2 </w:t>
      </w:r>
      <w:r w:rsidR="009C208A" w:rsidRPr="005D529F">
        <w:t xml:space="preserve"> Las personas sin hogar</w:t>
      </w:r>
      <w:bookmarkEnd w:id="90"/>
      <w:bookmarkEnd w:id="91"/>
    </w:p>
    <w:p w14:paraId="3B9E642B" w14:textId="77777777" w:rsidR="0000205E" w:rsidRDefault="009C208A" w:rsidP="005D529F">
      <w:pPr>
        <w:rPr>
          <w:rFonts w:cs="Times New Roman"/>
        </w:rPr>
      </w:pPr>
      <w:r w:rsidRPr="005D529F">
        <w:rPr>
          <w:rFonts w:cs="Times New Roman"/>
        </w:rPr>
        <w:t xml:space="preserve">El colectivo formado por las personas sin hogar constituye sin duda un caso paradigmático y extremo de exclusión social. En su situación de vida se manifiestan simultáneamente, con toda su crudeza, pero al mismo tiempo en una forma excepcionalmente compleja y particular, los efectos de los tres tipos de privación anteriormente mencionados. Dado que se trata de un colectivo socialmente marginal, ni siquiera mediante macro-encuestas sociológicas, como la Encuesta Social Europea o la Encuesta Europea de Calidad de Vida, se puede analizar sus condiciones de vida. Ahora bien, en la literatura científico-social se ha debatido mucho sobre los rasgos del carácter, la personalidad e incluso la salud mental de estas personas (Biswas-Diener y Diener, 2006) (Muñoz, 2011) (Bárez, 2010) (Cabrera, 1998). Y también se ha debatido mucho sobre su modo de vida, sobre su felicidad y sobre su sufrimiento. </w:t>
      </w:r>
    </w:p>
    <w:p w14:paraId="2617CA36" w14:textId="77777777" w:rsidR="0000205E" w:rsidRDefault="009C208A" w:rsidP="005D529F">
      <w:pPr>
        <w:rPr>
          <w:rFonts w:cs="Times New Roman"/>
        </w:rPr>
      </w:pPr>
      <w:r w:rsidRPr="005D529F">
        <w:rPr>
          <w:rFonts w:cs="Times New Roman"/>
        </w:rPr>
        <w:t xml:space="preserve">En primer término, es obvio que carecen del debido respeto, que tratamos con poco respeto a las personas sin hogar. Aún cuando, apostados en una acera, se interpongan en el camino de un viandante, pasan desapercibidos, teniendo que soportar el rictus de la calculada indiferencia que les muestra la gente. Si duermen en la calle se exponen a todo tipo de peligros. En algunos casos de extrema y cruel inhumanidad, individuos armados </w:t>
      </w:r>
      <w:r w:rsidRPr="005D529F">
        <w:rPr>
          <w:rFonts w:cs="Times New Roman"/>
        </w:rPr>
        <w:lastRenderedPageBreak/>
        <w:t>con ideologías racistas y xenófobas les atacan cruel y despiadadamente, llegando incluso a causarles la muerte. En segundo término, las personas sin hogar se caracterizan por tener un escasísimo nivel de integración y de participación social, sea política, económica, cultural o laboral. Las actividades que realizan son aquellas que les permitan  subsistir y satisfacer los limitados deseos y necesidades que alientan en sus vidas. Aunque muchos realizan diversas actividades laborales, en su mayor parte suelen ser marginales, orientadas a la provisión regular o momentánea de algún recurso básico e indispensable. En este sentido, el hecho determinante es que su estructura de actividad no les ofrece una base sobre la que forjar un sentido de vida personal sustentado en una relación de intercambio con el resto de la sociedad. Así, están abocadas a encontrar en el ser, y no tanto en el hacer, el sentido de su existencia. En tercer término, las personas sin hogar son personas sin dinero, pobres con una carencia casi absoluta y permanente de recursos económicos con los que afrontar la vida. No tienen fuentes de ingresos regulares y, de tenerlas, les proporcionan exiguos beneficios. La imposibilidad radical de poseer una vivienda propia que les cobije de los sórdidos e inciertos avatares de la intemperie, compone la metáfora de la condición existencial que finalmente les procura su nombre: personas sin hogar, personas sin techo.</w:t>
      </w:r>
    </w:p>
    <w:p w14:paraId="372DDC47" w14:textId="77777777" w:rsidR="0000205E" w:rsidRDefault="009C208A" w:rsidP="005D529F">
      <w:pPr>
        <w:rPr>
          <w:rFonts w:cs="Times New Roman"/>
        </w:rPr>
      </w:pPr>
      <w:r w:rsidRPr="005D529F">
        <w:rPr>
          <w:rFonts w:cs="Times New Roman"/>
        </w:rPr>
        <w:t>Estas personas, que viven en la calle privadas de todo, incluso de aquellos bienes que los demás consideramos absolutamente imprescindibles, formulan desde su soledad y su silencio algunas inquietantes preguntas a los “ciudadanos normales”. Aún cuando éstos, al cruzarse con ellos se esfuercen por mantener esa “desatención cortés” a la que se refería Erving Goffman, su mera pero ineludible presencia inquiere al viandante, forzándole mediante un extraño acto reflejo a sopesar su propia vida estableciendo un instantáneo y sumario balance entre, por una parte, el grado de felicidad alcanzado y, por otra, los sacrificios y las renuncias, muchas veces manifiestamente estériles o absurdas que, sin saber muy bien por qué, de alguna manera ha aceptado. Parece como si en el viandante volvieran a resonar las sabias palabras de Tse-ch’an: “te equivocas al no comprender que las personas sin hogar ven más claro que tu”.</w:t>
      </w:r>
    </w:p>
    <w:p w14:paraId="4221F818" w14:textId="77777777" w:rsidR="0000205E" w:rsidRDefault="009C208A" w:rsidP="005D529F">
      <w:pPr>
        <w:rPr>
          <w:rFonts w:cs="Times New Roman"/>
        </w:rPr>
      </w:pPr>
      <w:r w:rsidRPr="005D529F">
        <w:rPr>
          <w:rFonts w:cs="Times New Roman"/>
        </w:rPr>
        <w:t>La íntima fascinación y la profunda perplejidad que provocan las personas sin hogar, así como el contraste existente entre su felicidad y el de las personas normales, han inspirado casi todas las investigaciones sobre el bienestar subjetivo de este colectivo. En lo que sigue nos basaremos únicamente en dos de las más importantes, la encuesta realizada por Muñoz Roussy (2011) durante los años 2004 a 2010 en diversas ciudades  argentinas, y la realizada por Biswas-Diener y Diener (2006) en las calles de Calcuta, California y Portland. Ambas investigaciones ofrecieron resultados tanto esperados como inesperados. De todos ellos, comentaremos tan solo tres.</w:t>
      </w:r>
    </w:p>
    <w:p w14:paraId="66C90447" w14:textId="77777777" w:rsidR="0000205E" w:rsidRDefault="009C208A" w:rsidP="005D529F">
      <w:pPr>
        <w:rPr>
          <w:rFonts w:cs="Times New Roman"/>
        </w:rPr>
      </w:pPr>
      <w:r w:rsidRPr="005D529F">
        <w:rPr>
          <w:rFonts w:cs="Times New Roman"/>
        </w:rPr>
        <w:t xml:space="preserve">A tenor de sus penosas condiciones de existencia, era previsible la baja satisfacción con la vida que expresan. “El sentido y la opinión común que tenemos de las personas sin hogar nos lleva a pensar que ‘la vida en la calle’ es extremadamente indeseable, y que comporta tanto problemas físicos como psicológicos. Los resultados del presente estudio apoyan ampliamente esta conclusión ... las personas sin hogar mostraron altos niveles de afectos </w:t>
      </w:r>
      <w:r w:rsidRPr="005D529F">
        <w:rPr>
          <w:rFonts w:cs="Times New Roman"/>
        </w:rPr>
        <w:lastRenderedPageBreak/>
        <w:t>negativos ... (y) ... bajos niveles de satisfacción con los recursos materiales, como los ingresos o los alojamientos que utilizan para dormir ... Esto sugiere que existen ciertas experiencias comunes a la pobreza extrema –como los problemas de salud- que trascienden las diferencias culturales” (Biswas-Diener y Diener, 2006:198). Por su parte, el estudio de Muñoz Roussy corrobora que las personas sin hogar no están satisfechas con las condiciones materiales de sus vidas, y que les gustaría cambiarlas. Ahora bien, de forma inesperada, y contrariamente a su hipótesis de partida, también comprobó que el nivel de felicidad declarado, con un 6,8 de media sobre un máximo de 10, no era tan bajo como inicialmente pudiera pensarse. “Este índice general indica que estas personas son relativamente felices, que aún no estando felices con su situación de vida, tampoco están deprimidas, y que la felicidad es un sentimiento bastante presente durante todo el tiempo. La media general de satisfacción con las condiciones materiales, económicas y sociales es de 2,5. Esta sorprendente diferencia muestra que las personas sin hogar no están satisfechas con sus vidas, pero tampoco tristes o deprimidas por ello” (Muñoz, 2011:14).</w:t>
      </w:r>
    </w:p>
    <w:p w14:paraId="0B7BB20E" w14:textId="77777777" w:rsidR="0000205E" w:rsidRDefault="009C208A" w:rsidP="005D529F">
      <w:pPr>
        <w:rPr>
          <w:rFonts w:cs="Times New Roman"/>
        </w:rPr>
      </w:pPr>
      <w:r w:rsidRPr="005D529F">
        <w:rPr>
          <w:rFonts w:cs="Times New Roman"/>
        </w:rPr>
        <w:t>En suma, ambas investigaciones ponen de manifiesto, en este caso tan paradigmático y singular de exclusión social, la diferencia existente entre la apreciación cognitiva de las condiciones externas en las que se desenvuelve la existencia, esto es, la satisfacción con la vida, y la felicidad, que constituye un valoración afectiva, no del mundo exterior, sino del sujeto en tanto ser que vive su vida en ese mundo.</w:t>
      </w:r>
    </w:p>
    <w:p w14:paraId="47AC3477" w14:textId="77777777" w:rsidR="0000205E" w:rsidRDefault="009C208A" w:rsidP="005D529F">
      <w:pPr>
        <w:rPr>
          <w:rFonts w:cs="Times New Roman"/>
        </w:rPr>
      </w:pPr>
      <w:r w:rsidRPr="005D529F">
        <w:rPr>
          <w:rFonts w:cs="Times New Roman"/>
        </w:rPr>
        <w:t>No extraña, por tanto, que Biswas-Diener y Diener descubrieran, junto a la profunda insatisfacción que muestran las personas sin hogar con respecto a sus condiciones materiales de existencia, la alta satisfacción que tienen respecto de sí mismas. Las personas sin hogar se perciben en términos muy positivos, tanto si se les pregunta acerca de su moralidad, de su apariencia física o de su inteligencia. Sin duda, esta alta valoración del yo que, como sabemos, constituye uno de los componentes clave en nuestro modelo de medición del bienestar emocional, influye en el grado de felicidad experimentado por el sujeto, pudiendo explicar también los resultados obtenidos por Muñoz Roussy en su investigación. El yo se fortalece ante la presencia de un mundo hostil, configurando de este modo el principal sentido de su existencia. El modo de ser en el mundo de las personas sin hogar, frente al simple modo de estar en el mundo, queda así personalmente legitimado. Quizá la resiliencia de los seres humanos resida en el poder del yo para crear, incluso en las peores condiciones, espacios de libertad capaces de afirmar un profundo y legítimo orgullo.</w:t>
      </w:r>
    </w:p>
    <w:p w14:paraId="3857A4BF" w14:textId="77777777" w:rsidR="0000205E" w:rsidRDefault="009C208A" w:rsidP="005D529F">
      <w:pPr>
        <w:rPr>
          <w:rFonts w:cs="Times New Roman"/>
        </w:rPr>
      </w:pPr>
      <w:r w:rsidRPr="005D529F">
        <w:rPr>
          <w:rFonts w:cs="Times New Roman"/>
        </w:rPr>
        <w:t xml:space="preserve">Por último, ambos estudios ponen de manifiesto la importancia de unas buenas relaciones sociales para el mantenimiento de adecuados niveles de bienestar emocional. Biswas-Diener y Diener toparon en su investigación con un hallazgo contraintuitivo: las personas que vivían en la calles de Calcuta eran más felices que las de California y Portland, pese a que estas últimas disfrutaban de un relativo mejor nivel de vida. Las personas sin hogar de Calcuta mostraban una mayor satisfacción con su vida social en general; con las relaciones entre las propias personas de la calle; y también con sus </w:t>
      </w:r>
      <w:r w:rsidRPr="005D529F">
        <w:rPr>
          <w:rFonts w:cs="Times New Roman"/>
        </w:rPr>
        <w:lastRenderedPageBreak/>
        <w:t>familias. Los autores del estudio sugieren que la alta satisfacción obtenida por la muestra de Calcuta puede deberse a que el estado de West Bengal tiene un gobierno comunista que proyecta una generalizada simpatía por los pobres. Esto significaría que se les persigue y marginaliza menos, y que están menos estigmatizados socialmente. Dicho en otros términos, las personas sin hogar de Calcula son tratadas con más respeto que en Estados Unidos. También Muñoz Roussy, cuando preguntó a las personas sin hogar qué era lo que les hacía infelices, un 26% indicó que la falta de respeto por parte de la gente. Esta fue su respuesta más frecuente. Un 19% contestó que la rivalidad entre las propias personas sin hogar; un 18%, la falta de solidaridad social; y un 16%, la falta de visión de futuro. Al preguntarles qué les hacía felices, un 26% indicó que las relación con otras personas sin hogar; un 23%, que el apoyo de la familia o de otras personas sin hogar; y un 19%, la libertad con respecto a las estructuras sociales (Muñoz, 2011:13).</w:t>
      </w:r>
    </w:p>
    <w:p w14:paraId="6BCCD516" w14:textId="77777777" w:rsidR="0000205E" w:rsidRDefault="009C208A" w:rsidP="005D529F">
      <w:pPr>
        <w:rPr>
          <w:rFonts w:cs="Times New Roman"/>
        </w:rPr>
      </w:pPr>
      <w:r w:rsidRPr="005D529F">
        <w:rPr>
          <w:rFonts w:cs="Times New Roman"/>
        </w:rPr>
        <w:t>En suma, el malestar y el bienestar de las personas sin hogar, como el de otras  sometidas a distintos niveles y tipos de exclusión social, estará condicionada por el grado de privación y de posesión en tres dimensiones clave: la calidad, en respeto y amor, de sus relaciones sociales; el sentido y los logros que obtenga en su modo particular de ser y estar en el mundo; y los recursos económicos y la sabiduría con la que afronten su vida.</w:t>
      </w:r>
    </w:p>
    <w:p w14:paraId="239B6611" w14:textId="77777777" w:rsidR="0000205E" w:rsidRDefault="009C208A" w:rsidP="00B12022">
      <w:pPr>
        <w:pStyle w:val="Ttulo2"/>
      </w:pPr>
      <w:bookmarkStart w:id="92" w:name="_Toc311991814"/>
      <w:bookmarkStart w:id="93" w:name="_Toc311993043"/>
      <w:r w:rsidRPr="005D529F">
        <w:t>6.3</w:t>
      </w:r>
      <w:r w:rsidR="00F94109" w:rsidRPr="005D529F">
        <w:t xml:space="preserve"> </w:t>
      </w:r>
      <w:r w:rsidRPr="005D529F">
        <w:t xml:space="preserve"> Discriminación social, falta de respeto y trato injusto</w:t>
      </w:r>
      <w:bookmarkEnd w:id="92"/>
      <w:bookmarkEnd w:id="93"/>
    </w:p>
    <w:p w14:paraId="00FDFBEF" w14:textId="77777777" w:rsidR="0000205E" w:rsidRDefault="009C208A" w:rsidP="005D529F">
      <w:pPr>
        <w:rPr>
          <w:rFonts w:cs="Times New Roman"/>
        </w:rPr>
      </w:pPr>
      <w:r w:rsidRPr="005D529F">
        <w:rPr>
          <w:rFonts w:cs="Times New Roman"/>
        </w:rPr>
        <w:t>La exclusión y la discriminación están íntimamente unidas con dos tipos de privaciones que afectan al mismo núcleo de la interacción social: la falta de respeto y el trato injusto. La primera opera en la dimensión intercomunicativa de la sociabilidad (alguien le dice algo a la persona excluida), mientras que la segunda opera en la dimensión interactiva de la sociabilidad (alguien le hace algo a la persona discriminada). La naturaleza del respeto o de la falta de respeto es esencialmente expresiva o comunicativa, y tiene que ver con el reconocimiento y valoración recíprocos que las personas debieran otorgarse en condiciones de igualdad. La naturaleza del trato justo o injusto es básicamente instrumental, y depende del equilibrio que toda relación social igualitaria debe mantener tanto en sus acciones recíprocas como en sus intercambios. Sin duda, ambos modos de exclusión y de discriminación social se complementan y refuerzan mutuamente.</w:t>
      </w:r>
    </w:p>
    <w:p w14:paraId="3BDE9B9B" w14:textId="77777777" w:rsidR="0000205E" w:rsidRDefault="009C208A" w:rsidP="005D529F">
      <w:pPr>
        <w:rPr>
          <w:rFonts w:cs="Times New Roman"/>
        </w:rPr>
      </w:pPr>
      <w:r w:rsidRPr="005D529F">
        <w:rPr>
          <w:rFonts w:cs="Times New Roman"/>
        </w:rPr>
        <w:t xml:space="preserve">¿En qué medida, podríamos preguntarnos ahora, las personas que pertenecen a un grupo que es socialmente discriminado en su país, tienen un nivel de bienestar emocional inferior al que disfruta la población general? Es decir, podemos preguntarnos si las personas discriminadas socialmente, también están discriminadas afectivamente. Pues bien, considerando el conjunto de personas que indicaron pertenecer a un grupo discriminado en función de algún rasgo particular, sea la raza, el color de piel, la nacionalidad, la adscripción religiosa, la lengua, el grupo étnico, la edad, el género, la orientación sexual, la discapacidad o cualquier otro, se comprueba que el grado de felicidad de estas personas es inferior al de la población general, tanto en España, como </w:t>
      </w:r>
      <w:r w:rsidRPr="005D529F">
        <w:rPr>
          <w:rFonts w:cs="Times New Roman"/>
        </w:rPr>
        <w:lastRenderedPageBreak/>
        <w:t>en Europa. Según los datos de la Tabla 6.1, la diferencia entre el IBSE de ambos es en España de 13,3 puntos, y en Europa de 18,3, lo que demuestra que la discriminación social implica también discriminación emocional. Teniendo en cuenta que a los entrevistados tan solo se les preguntó si pertenecían a algún colectivo socialmente discriminado en su país, pero no si ellos mismos se sentían socialmente discriminados, creemos que las diferencias detectadas en el IBSE son muy considerables. Ahora bien, dada la importancia que la discriminación social puede tener sobre la felicidad, a continuación analizaremos qué sucede exactamente con la felicidad de las personas que son tratadas con falta respeto o que son tratadas injustamente por los demás.</w:t>
      </w:r>
    </w:p>
    <w:p w14:paraId="517AA915" w14:textId="77777777" w:rsidR="0000205E" w:rsidRDefault="009C208A" w:rsidP="005C237C">
      <w:pPr>
        <w:pStyle w:val="Ttulo3"/>
      </w:pPr>
      <w:bookmarkStart w:id="94" w:name="_Toc311991815"/>
      <w:bookmarkStart w:id="95" w:name="_Toc311993044"/>
      <w:r w:rsidRPr="005D529F">
        <w:t>El respeto</w:t>
      </w:r>
      <w:bookmarkEnd w:id="94"/>
      <w:bookmarkEnd w:id="95"/>
    </w:p>
    <w:p w14:paraId="6D88F086" w14:textId="77777777" w:rsidR="0000205E" w:rsidRDefault="009C208A" w:rsidP="005D529F">
      <w:pPr>
        <w:rPr>
          <w:rFonts w:cs="Times New Roman"/>
        </w:rPr>
      </w:pPr>
      <w:r w:rsidRPr="005D529F">
        <w:rPr>
          <w:rFonts w:cs="Times New Roman"/>
        </w:rPr>
        <w:t>Desde su primer libro, titulado Las heridas ocultas de la clase obrera, la obra del sociólogo Richard Sennett ha estado inspirada por una sensibilidad especial hacia aquellos discretos sentimientos que, aún pasando desapercibidos la mayor parte del tiempo, impregnan el tono general de la vida y animan la mayor parte de la trayectoria  vital de los seres humanos. La capacidad de Sennet para conectar realidades sociales macro y micro, estableciendo vínculos entre, por una parte, los rasgos estructurales e institucionales característicos de una sociedad y, por otra, los tonos emocionales, las disposiciones de ánimo y las afectividades que colorean la vida de las personas, es sencillamente prodigiosa. Entre los innumerables sentimientos que pueblan nuestro universo afectivo, Sennet siempre ha otorgado al respeto, así como al conjunto de sentimientos que pertenecen a la misma familia emocional (orgullo, vergüenza, humillación, compasión, etc.) un papel muy destacado. Además, su interés y sensibilidad hacia el respeto de las personas, así como hacia las consecuencias que una falta de respeto pueda tener sobre ellas, se derivan de una preocupación paralela por la dignidad humana en un contexto de desigualdad social. En una de sus últimas obras, titulada El respeto, ofrece una clara indicación de su esencia tanto emocional como relacional: “La falta de respeto, aunque menos agresiva que un insulto directo, puede adoptar una forma igualmente hiriente. Con la falta de respeto no se insulta a otra persona, pero tampoco se le concede reconocimiento; simplemente no se la ve como un ser humano integral cuya presencia importa”</w:t>
      </w:r>
      <w:r w:rsidRPr="005D529F">
        <w:rPr>
          <w:rStyle w:val="Refdenotaalpie"/>
          <w:rFonts w:cs="Times New Roman"/>
        </w:rPr>
        <w:footnoteReference w:id="6"/>
      </w:r>
      <w:r w:rsidRPr="005D529F">
        <w:rPr>
          <w:rFonts w:cs="Times New Roman"/>
        </w:rPr>
        <w:t xml:space="preserve"> (Sennet, 2003:18).</w:t>
      </w:r>
    </w:p>
    <w:p w14:paraId="06F0FA19" w14:textId="77777777" w:rsidR="0000205E" w:rsidRDefault="009C208A" w:rsidP="005D529F">
      <w:pPr>
        <w:rPr>
          <w:rFonts w:cs="Times New Roman"/>
        </w:rPr>
      </w:pPr>
      <w:r w:rsidRPr="005D529F">
        <w:rPr>
          <w:rFonts w:cs="Times New Roman"/>
        </w:rPr>
        <w:t xml:space="preserve">Para Sennet, “la sociedad modela el carácter de tres maneras, y de acuerdo con ellas se gana el respecto de los demás o no se consigue inspirarlo”. La primera es la que tiene lugar “a través del desarrollo de capacidades y de habilidades. La persona muy inteligente que derrocha talento no concita respeto; en cambio, sí lo hace una persona menos dotada pero que trabaja al límite de su capacidad”. La segunda manera reside en el cuidado de uno mismo. En el mundo antiguo, cuidar de sí mismo significaba aprender a regular los placeres y los dolores corporales. El cuidado de sí mismo puede significar </w:t>
      </w:r>
      <w:r w:rsidRPr="005D529F">
        <w:rPr>
          <w:rFonts w:cs="Times New Roman"/>
        </w:rPr>
        <w:lastRenderedPageBreak/>
        <w:t>además no convertirse en una carga, de modo que el adulto necesitado se ve cubierto de vergüenza, mientras que la persona autosuficiente es respetada”. “La tercera manera de ganar respeto es retribuir a los otros. Ésta es tal vez la fuente de estima más universal, intemporal y profunda del carácter propio”, “ni el virtuoso ni el tirano afectan a los sentimientos de otros como lo hace alguien que retribuye a la comunidad”. “El principio social que anima el carácter de quien retribuye a la comunidad es el intercambio” (Sennett, 2003:73-74).</w:t>
      </w:r>
    </w:p>
    <w:p w14:paraId="40C5AB08" w14:textId="77777777" w:rsidR="0000205E" w:rsidRDefault="009C208A" w:rsidP="005D529F">
      <w:pPr>
        <w:rPr>
          <w:rFonts w:cs="Times New Roman"/>
        </w:rPr>
      </w:pPr>
      <w:r w:rsidRPr="005D529F">
        <w:rPr>
          <w:noProof/>
          <w:lang w:val="es-ES"/>
        </w:rPr>
        <w:drawing>
          <wp:anchor distT="0" distB="0" distL="114300" distR="114300" simplePos="0" relativeHeight="251687936" behindDoc="0" locked="0" layoutInCell="1" allowOverlap="1" wp14:anchorId="3485B628" wp14:editId="7CBA412E">
            <wp:simplePos x="0" y="0"/>
            <wp:positionH relativeFrom="column">
              <wp:posOffset>0</wp:posOffset>
            </wp:positionH>
            <wp:positionV relativeFrom="paragraph">
              <wp:posOffset>850900</wp:posOffset>
            </wp:positionV>
            <wp:extent cx="3017520" cy="2610485"/>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6.2.pdf"/>
                    <pic:cNvPicPr/>
                  </pic:nvPicPr>
                  <pic:blipFill rotWithShape="1">
                    <a:blip r:embed="rId40">
                      <a:extLst>
                        <a:ext uri="{28A0092B-C50C-407E-A947-70E740481C1C}">
                          <a14:useLocalDpi xmlns:a14="http://schemas.microsoft.com/office/drawing/2010/main" val="0"/>
                        </a:ext>
                      </a:extLst>
                    </a:blip>
                    <a:srcRect l="13347" t="7072" r="37831" b="63082"/>
                    <a:stretch/>
                  </pic:blipFill>
                  <pic:spPr bwMode="auto">
                    <a:xfrm>
                      <a:off x="0" y="0"/>
                      <a:ext cx="3017520" cy="26104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D529F">
        <w:rPr>
          <w:rFonts w:cs="Times New Roman"/>
        </w:rPr>
        <w:t>Por otra parte, es evidente que para Sennett (2003:74) “la desigualdad desempeña un papel particular y decisivo en la formación de estos tres tipos de carácter” (Sennett, 2003:74). Pese a que toda persona tiene el derecho a que se la vea como un ser humano integral cuya presencia importa, en nuestras sociedades el respeto opera en un contexto de escasez. Así lo prueba la ESS, que preguntó a los entrevistados  “¿en qué medida siente que la gente le trata con respeto?”, ofreciéndoles en una tarjeta una escala de siete puntos en la que el “0” equivalía a “nunca” y el “6” a “muy a menudo”</w:t>
      </w:r>
      <w:r w:rsidRPr="005D529F">
        <w:rPr>
          <w:rStyle w:val="Refdenotaalpie"/>
          <w:rFonts w:cs="Times New Roman"/>
        </w:rPr>
        <w:footnoteReference w:id="7"/>
      </w:r>
      <w:r w:rsidRPr="005D529F">
        <w:rPr>
          <w:rFonts w:cs="Times New Roman"/>
        </w:rPr>
        <w:t xml:space="preserve">. Esta pregunta nos sirve, además, para comprobar empíricamente si la falta de respeto excluye de la felicidad. Y la prueba que nos aporta la información de la Tabla 6.2 es concluyente. Tal y como habíamos anticipado, el respeto no es garantía de felicidad, pero la falta de respeto hace que las personas se sientan profundamente desgraciadas e infelices. En España el IBSE de las personas que son tratadas con absoluta falta de respeto desciende hasta el </w:t>
      </w:r>
      <w:r w:rsidRPr="005D529F">
        <w:rPr>
          <w:rFonts w:cs="Times New Roman"/>
        </w:rPr>
        <w:noBreakHyphen/>
        <w:t xml:space="preserve">55,2, y en Europa hasta el </w:t>
      </w:r>
      <w:r w:rsidRPr="005D529F">
        <w:rPr>
          <w:rFonts w:cs="Times New Roman"/>
        </w:rPr>
        <w:noBreakHyphen/>
      </w:r>
      <w:r w:rsidRPr="005D529F">
        <w:rPr>
          <w:rFonts w:cs="Times New Roman"/>
        </w:rPr>
        <w:softHyphen/>
        <w:t xml:space="preserve">47,8. En España, exactamente un 14% de la población se siente tratada con falta de respeto, y esto, atendiendo al valor medio de su Índice de Bienestar Socioemocional, que desciende hasta el valor </w:t>
      </w:r>
      <w:r w:rsidRPr="005D529F">
        <w:rPr>
          <w:rFonts w:cs="Times New Roman"/>
        </w:rPr>
        <w:noBreakHyphen/>
        <w:t>24,0, demuestra que estas personas están excluidas de la felicidad.</w:t>
      </w:r>
    </w:p>
    <w:p w14:paraId="613995B1" w14:textId="77777777" w:rsidR="0000205E" w:rsidRDefault="009C208A" w:rsidP="005D529F">
      <w:pPr>
        <w:rPr>
          <w:rFonts w:cs="Times New Roman"/>
        </w:rPr>
      </w:pPr>
      <w:r w:rsidRPr="005D529F">
        <w:rPr>
          <w:rFonts w:cs="Times New Roman"/>
        </w:rPr>
        <w:t xml:space="preserve">El análisis del valor medio de las cuatro dimensiones que componen el IBSE ponen de manifiesto algunos resultados muy interesantes. Por ejemplo, en las personas que se sienten tratadas con poco respeto, el valor de la dimensión “status” desciende muchísimo más que el de las otras tres dimensiones. Es evidente que la falta de respeto indica </w:t>
      </w:r>
      <w:r w:rsidRPr="005D529F">
        <w:rPr>
          <w:rFonts w:cs="Times New Roman"/>
        </w:rPr>
        <w:lastRenderedPageBreak/>
        <w:t xml:space="preserve">ausencia, rotura, deterioro o debilitamiento del vínculo social. A la inversa, al analizar las dimensiones de las personas que se consideran muy respetadas, comprobamos que el valor de la dimensión del “yo” crece, pero que el valor del “status”, contra lo que inicialmente pudiera pensarse, es inferior al de la población general. ¿Cómo puede interpretarse este hecho? Básicamente, teniendo en cuenta que la “falta de respeto” y el ser “muy respetado” no son los polos extremos de una misma realidad socio-relacional. Un respeto excesivo, al igual que el orgullo excesivo, es socialmente ilegítimo, y lejos de indicar la existencia de un nutrido número de relaciones horizontales, de amistad, de camaradería, de cariño y de ternura, indica distanciamiento y separación con respecto a los otros. En suma, el hecho de ser muy respetado, o quizás el hecho de hacerse respetar mucho, se corresponde con el orgullo excesivo e ilegítimo que nos separa y nos enfrenta a los demás, lo que naturalmente hace que nos sintamos algo más tristes, algo más deprimidos y algo más solos. </w:t>
      </w:r>
    </w:p>
    <w:p w14:paraId="56470332" w14:textId="77777777" w:rsidR="0000205E" w:rsidRDefault="004F552C" w:rsidP="005D529F">
      <w:pPr>
        <w:rPr>
          <w:rFonts w:cs="Times New Roman"/>
        </w:rPr>
      </w:pPr>
      <w:r w:rsidRPr="005D529F">
        <w:rPr>
          <w:noProof/>
          <w:lang w:val="es-ES"/>
        </w:rPr>
        <w:drawing>
          <wp:anchor distT="0" distB="0" distL="114300" distR="114300" simplePos="0" relativeHeight="251688960" behindDoc="0" locked="0" layoutInCell="1" allowOverlap="1" wp14:anchorId="77E81403" wp14:editId="076A4DEE">
            <wp:simplePos x="0" y="0"/>
            <wp:positionH relativeFrom="column">
              <wp:posOffset>0</wp:posOffset>
            </wp:positionH>
            <wp:positionV relativeFrom="paragraph">
              <wp:posOffset>508000</wp:posOffset>
            </wp:positionV>
            <wp:extent cx="2743200" cy="2250440"/>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6.3.pdf"/>
                    <pic:cNvPicPr/>
                  </pic:nvPicPr>
                  <pic:blipFill rotWithShape="1">
                    <a:blip r:embed="rId41">
                      <a:extLst>
                        <a:ext uri="{28A0092B-C50C-407E-A947-70E740481C1C}">
                          <a14:useLocalDpi xmlns:a14="http://schemas.microsoft.com/office/drawing/2010/main" val="0"/>
                        </a:ext>
                      </a:extLst>
                    </a:blip>
                    <a:srcRect l="13344" t="8487" r="38521" b="63606"/>
                    <a:stretch/>
                  </pic:blipFill>
                  <pic:spPr bwMode="auto">
                    <a:xfrm>
                      <a:off x="0" y="0"/>
                      <a:ext cx="2743200" cy="22504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C208A" w:rsidRPr="005D529F">
        <w:rPr>
          <w:rFonts w:cs="Times New Roman"/>
        </w:rPr>
        <w:t>Vemos, ahora, cómo se distribuye la población española, en la tipología de la felicidad que venimos utilizando, según sea el nivel del respeto con el que son tratados por la gente. La información contenida en la Tabla 6.3 revela muchos rasgos interesantes de la relación que existe entre el respeto y la felicidad. Aquí tan solo comentaremos sucintamente alguno de ellos. Por ejemplo, la estructura afectiva de uno de cada tres españoles que son tratados con poco respeto (35,6%), es de clara insatisfacción o infelicidad. Sin embargo, entre los españoles que son tratados con respecto (categorías 4, 5 y 6), el porcentaje de infelices apenas varía, e incluso se observa un pequeño repunte del porcentaje de “no felices” entre quienes se consideran muy respetados (7,6%).</w:t>
      </w:r>
    </w:p>
    <w:p w14:paraId="5FDDBAFF" w14:textId="77777777" w:rsidR="0000205E" w:rsidRDefault="009C208A" w:rsidP="005D529F">
      <w:pPr>
        <w:rPr>
          <w:rFonts w:cs="Times New Roman"/>
        </w:rPr>
      </w:pPr>
      <w:r w:rsidRPr="005D529F">
        <w:rPr>
          <w:rFonts w:cs="Times New Roman"/>
        </w:rPr>
        <w:t>En conclusión, los datos demuestran la importancia que tiene el trato respetuoso para evitar la exclusión de la felicidad. En España, solamente el 7,5% de las personas que son tratadas por los demás con poco respeto son felices. Sin embargo, el porcentaje de personas felices entre quienes dicen ser tratadas con bastante respeto (14,6%), o con mucho respeto (22,7%),  duplica y triplica, respectivamente, ese porcentaje.</w:t>
      </w:r>
    </w:p>
    <w:p w14:paraId="5251C781" w14:textId="77777777" w:rsidR="0000205E" w:rsidRDefault="009C208A" w:rsidP="00F14A52">
      <w:pPr>
        <w:pStyle w:val="Ttulo3"/>
      </w:pPr>
      <w:bookmarkStart w:id="96" w:name="_Toc311991816"/>
      <w:bookmarkStart w:id="97" w:name="_Toc311993045"/>
      <w:r w:rsidRPr="005D529F">
        <w:t>El trato justo</w:t>
      </w:r>
      <w:bookmarkEnd w:id="96"/>
      <w:bookmarkEnd w:id="97"/>
    </w:p>
    <w:p w14:paraId="38007DBC" w14:textId="77777777" w:rsidR="0000205E" w:rsidRDefault="009C208A" w:rsidP="005D529F">
      <w:pPr>
        <w:rPr>
          <w:rFonts w:cs="Times New Roman"/>
        </w:rPr>
      </w:pPr>
      <w:r w:rsidRPr="005D529F">
        <w:rPr>
          <w:rFonts w:cs="Times New Roman"/>
        </w:rPr>
        <w:t xml:space="preserve">Una vez comprobado que la falta de respecto tiene un gran impacto sobre el bienestar emocional, queremos verificar, por último, si las personas que se consideren tratadas injustamente por los demás también están en alguna medida excluidas de la felicidad. Pues bien, los datos tanto españoles como europeos de la ESE de 2006 demuestran que </w:t>
      </w:r>
      <w:r w:rsidRPr="005D529F">
        <w:rPr>
          <w:rFonts w:cs="Times New Roman"/>
        </w:rPr>
        <w:lastRenderedPageBreak/>
        <w:t>el ser tratado injustamente tiene un efecto negativo, y similar al que tiene la falta de respeto, sobre la felicidad. Quienes sienten que son tratados justamente por los demás muestran un buen nivel de bienestar emocional, tanto en España (12,5), como en Europa (10,5). Al contrario, quienes sienten que reciben un trato injusto por parte de la gente (puntos 3 a 6 de la escala), un 17,2% de la población española y un 25,1% de la europea, presentan bajos niveles medios de bienestar emocional, tanto en España (</w:t>
      </w:r>
      <w:r w:rsidRPr="005D529F">
        <w:rPr>
          <w:rFonts w:cs="Times New Roman"/>
        </w:rPr>
        <w:noBreakHyphen/>
        <w:t>18,23), como en Europa (</w:t>
      </w:r>
      <w:r w:rsidRPr="005D529F">
        <w:rPr>
          <w:rFonts w:cs="Times New Roman"/>
        </w:rPr>
        <w:noBreakHyphen/>
        <w:t>17,31). En suma, la diferencia que existe entre el grado de felicidad de una persona que recibe un trato bastante injusto o que es tratada justamente resulta ser muy considerable: equivale a 30,7 puntos de la escala IBSE en España, y a 27,8 puntos en Europa.</w:t>
      </w:r>
    </w:p>
    <w:p w14:paraId="27D8DFC4" w14:textId="77777777" w:rsidR="0000205E" w:rsidRDefault="009C208A" w:rsidP="005D529F">
      <w:pPr>
        <w:rPr>
          <w:rFonts w:cs="Times New Roman"/>
        </w:rPr>
      </w:pPr>
      <w:r w:rsidRPr="005D529F">
        <w:rPr>
          <w:rFonts w:cs="Times New Roman"/>
        </w:rPr>
        <w:t>Dada la similitud del impacto que la tanto la falta de respeto como el trato injusto tienen sobre la felicidad de las personas, pudiera pensarse que ambas variables representan un mismo fenómeno. Sin embargo, los análisis estadísticos realizados nos muestran que si bien existe cierta correlación estadística entre ambas (Tau b de Kendall= 0,327, y Rho de Spearman= 0,386), la correlación no es muy alta, avalando la idea de que ambas variables corresponden a fenómenos sociales conceptual y realmente distintos. Es obvio que todo trato injusto implica en cualquier caso una falta de respeto, y por este motivo el valor de la dimensión “estatus” también desciende. Es decir, las personas se sienten más tristes, deprimidas y solas cuando creen ser tratadas injustamente. Ahora bien, puede comprobarse que el efecto del trato injusto en la dimensión de “situación”, que refleja los sentimientos de felicidad y disfrute, es mayor que el de la falta de respeto. Dado que el factor “situación” refleja la valoración del sujeto en relación a las condiciones más objetivas del entorno, es lógico pensar que las personas tratadas muy injustamente obtendrán balances de intercambio mucho más desfavorables, lo que naturalmente vendrá indicado por estados emocionales de menor grado de felicidad y disfrute.</w:t>
      </w:r>
    </w:p>
    <w:p w14:paraId="04A884F7" w14:textId="77777777" w:rsidR="0000205E" w:rsidRDefault="00F94109" w:rsidP="00ED68B0">
      <w:pPr>
        <w:pStyle w:val="Ttulo2"/>
      </w:pPr>
      <w:bookmarkStart w:id="98" w:name="_Toc311991817"/>
      <w:bookmarkStart w:id="99" w:name="_Toc311993046"/>
      <w:r w:rsidRPr="005D529F">
        <w:t xml:space="preserve">6.4 </w:t>
      </w:r>
      <w:r w:rsidR="009C208A" w:rsidRPr="005D529F">
        <w:t xml:space="preserve"> Inmigrantes y nativos</w:t>
      </w:r>
      <w:bookmarkEnd w:id="98"/>
      <w:bookmarkEnd w:id="99"/>
    </w:p>
    <w:p w14:paraId="6B6DDDC9" w14:textId="77777777" w:rsidR="0000205E" w:rsidRDefault="009C208A" w:rsidP="005D529F">
      <w:pPr>
        <w:rPr>
          <w:rFonts w:cs="Times New Roman"/>
          <w:lang w:val="es-ES"/>
        </w:rPr>
      </w:pPr>
      <w:r w:rsidRPr="005D529F">
        <w:rPr>
          <w:rFonts w:cs="Times New Roman"/>
        </w:rPr>
        <w:t>Todos los informes y estudios realizados sobre la población inmigrante muestran sin ningún género de duda que sus condiciones de vida son bastantes peores que las de la población nativa. En 2008, Cabrera y Rubio, expertos en exclusión social, señalaban que “</w:t>
      </w:r>
      <w:r w:rsidRPr="005D529F">
        <w:rPr>
          <w:rFonts w:cs="Times New Roman"/>
          <w:lang w:val="es-ES"/>
        </w:rPr>
        <w:t xml:space="preserve">en apenas 10 años, los extranjeros han pasado de ser alrededor de un 15% de la población más excluida, a representar la mitad, lo que denota la grave situación de vulnerabilidad en que se encuentran muchos trabajadores inmigrantes que además de los problemas para lograr entrar en el país, se encuentran con serias dificultades para conseguir, por este orden: papeles, empleo y alojamiento” (Cabrera y Rubio, 2008:59). El VI Informe FOESSA, publicado en 2009, segundo año de crisis tras más de una década de crecimiento económico en España, </w:t>
      </w:r>
      <w:r w:rsidRPr="005D529F">
        <w:rPr>
          <w:rFonts w:cs="Times New Roman"/>
        </w:rPr>
        <w:t>decía que, “en general, los inmigrantes ocupan los peldaños más bajos de la escala ocupacional. Desempeñan los trabajos menos cualificados y más temporales en los sectores donde se concentran (FOESSA, 2009:240). Y Antonio Izquierdo concluía que “</w:t>
      </w:r>
      <w:r w:rsidRPr="005D529F">
        <w:rPr>
          <w:rFonts w:cs="Times New Roman"/>
          <w:lang w:val="es-ES"/>
        </w:rPr>
        <w:t xml:space="preserve">los dos cuchillos que cortan los vínculos de los </w:t>
      </w:r>
      <w:r w:rsidRPr="005D529F">
        <w:rPr>
          <w:rFonts w:cs="Times New Roman"/>
          <w:lang w:val="es-ES"/>
        </w:rPr>
        <w:lastRenderedPageBreak/>
        <w:t>inmigrantes con la sociedad de destino y abren la herida de la exclusión son la irregularidad y el desempleo, la exclusión jurídica y la marginación laboral” (Izquierdo, 2009:674).</w:t>
      </w:r>
    </w:p>
    <w:p w14:paraId="36300233" w14:textId="77777777" w:rsidR="0000205E" w:rsidRDefault="009C208A" w:rsidP="005D529F">
      <w:pPr>
        <w:rPr>
          <w:rFonts w:cs="Times New Roman"/>
          <w:lang w:val="es-ES"/>
        </w:rPr>
      </w:pPr>
      <w:r w:rsidRPr="005D529F">
        <w:rPr>
          <w:rFonts w:cs="Times New Roman"/>
          <w:lang w:val="es-ES"/>
        </w:rPr>
        <w:t>Tras seis años de crisis económica y laboral, en el Informe Precariedad y Cohesión Social, de 2014, la Fundación FOESSA alerta de un claro retroceso en la integración de la población inmigrante. “La crisis afectó desde el comienzo de una forma muy especial a la población extranjera, duplicando la incidencia de la exclusión hasta un 44,5% en 2009 para estos hogares. Posteriormente todavía se ha empeorado algo más su situación, incrementando significativamente en este grupo las situaciones de exclusión severa (22,4%) y subiendo el índice de exclusión hasta 2,76. Asistimos, pues, ahora sobre todo al empeoramiento de la situación social de una parte de la población inmigrante que ya se veía afectada por la exclusión con el primer impacto de la crisis (y antes)” (FOESSA, 2014:30). Además, es preciso señalar que este empeoramiento de sus condiciones de vida corre en paralelo con ciertos cambios detectados  en las actitudes de la población nativa hacia los inmigrantes, ahora menos favorables y mucho más complejas que al inicio de esta fase inmigratoria en España (Martin Artiles, et al., 2013) (Rinken, 2013) (Cea D’ancona, et al., 2014).</w:t>
      </w:r>
    </w:p>
    <w:p w14:paraId="76BA07D6" w14:textId="77777777" w:rsidR="0000205E" w:rsidRDefault="009C208A" w:rsidP="005D529F">
      <w:pPr>
        <w:rPr>
          <w:rFonts w:cs="Times New Roman"/>
        </w:rPr>
      </w:pPr>
      <w:r w:rsidRPr="005D529F">
        <w:rPr>
          <w:rFonts w:cs="Times New Roman"/>
        </w:rPr>
        <w:t>Aunque abundan los estudios sobre las condiciones objetivas de vida de las personas inmigrantes, esto es, sobre sus ingresos, vivienda, trabajo, educación y familia, sabemos muy poco sobre su bienestar subjetivo, pues los estudios en este ámbito escasean. Es evidente que una visión completa de la compleja situación de vida de las personas inmigrantes debería utilizar ambas perspectivas (Angelini, et al.), y por ello en este epígrafe desarrollamos un análisis preliminar de la felicidad de los inmigrantes, análisis que, debido en parte a la carencia de estudios ya citada, probablemente dejará muchas más preguntas abiertas, que respuestas definitivas y cerradas. En este análisis compararemos el bienestar emocional de los nativos, esto es, las personas nacidas en un país, cuyo padre y madre también han nacido en él, con los inmigrantes, esto es, las personas no nacidas en ese país, cuyo padre y madre tampoco han nacido allí.</w:t>
      </w:r>
    </w:p>
    <w:p w14:paraId="714B58F0" w14:textId="77777777" w:rsidR="0000205E" w:rsidRDefault="009C208A" w:rsidP="005D529F">
      <w:pPr>
        <w:rPr>
          <w:rFonts w:cs="Times New Roman"/>
        </w:rPr>
      </w:pPr>
      <w:r w:rsidRPr="005D529F">
        <w:rPr>
          <w:rFonts w:cs="Times New Roman"/>
        </w:rPr>
        <w:t>En primer lugar, según la ESS, las escalas de felicidad y de satisfacción con la vida, en 2006 y 2012,  y en España y en Europa, arrojan los siguientes resultados. En España, en 2006, la media de satisfacción de los inmigrantes (7,41) era tan solo un poco inferior a la de los nativos (7,44). Más aún sorprende que su media en la escala de felicidad (7,66) fuera incluso algo superior a la de la población autóctona (7,64). En el año 2012, se observa en España importantes cambios en estos datos. El nivel de satisfacción general desciende, descendiendo mucho más en los inmigrantes (6,43), que en los nativos (6,96). También la media de felicidad, mucho más resistente a las variaciones generales del contexto, desciende más en entre la población inmigrante (7,25), que entre la autóctona (7,62). Los datos para los 27 países europeos incluidos en nuestro análisis presentan en 2006 una pauta similar a la española. Sin embargo, en 2012, la pauta se invierte, siendo mayores los grados de satisfacción y de felicidad de los inmigrantes en los países europeos (7,12 y 7,46), que la de los propios nativos (7,04 y 7,38).</w:t>
      </w:r>
    </w:p>
    <w:p w14:paraId="79D861DE" w14:textId="01CBC3F4" w:rsidR="0000205E" w:rsidRDefault="009C208A" w:rsidP="005D529F">
      <w:pPr>
        <w:rPr>
          <w:rFonts w:cs="Times New Roman"/>
        </w:rPr>
      </w:pPr>
      <w:r w:rsidRPr="005D529F">
        <w:rPr>
          <w:rFonts w:cs="Times New Roman"/>
        </w:rPr>
        <w:lastRenderedPageBreak/>
        <w:t xml:space="preserve">En segundo lugar, veamos ahora cual es el grado de bienestar socioemocional (IBSE) de los inmigrantes y nativos en el conjunto de las muestras de la ESS de 2006 y 2012. Realizada la estimación (Tabla 6.4), se comprueba que, en efecto, el grado medio del </w:t>
      </w:r>
      <w:r w:rsidR="00ED68B0" w:rsidRPr="005D529F">
        <w:rPr>
          <w:noProof/>
          <w:lang w:val="es-ES"/>
        </w:rPr>
        <w:drawing>
          <wp:anchor distT="0" distB="0" distL="114300" distR="114300" simplePos="0" relativeHeight="251689984" behindDoc="0" locked="0" layoutInCell="1" allowOverlap="1" wp14:anchorId="5675C514" wp14:editId="4A3A07A8">
            <wp:simplePos x="0" y="0"/>
            <wp:positionH relativeFrom="column">
              <wp:posOffset>0</wp:posOffset>
            </wp:positionH>
            <wp:positionV relativeFrom="paragraph">
              <wp:posOffset>114300</wp:posOffset>
            </wp:positionV>
            <wp:extent cx="1939290" cy="1417320"/>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6.4.pdf"/>
                    <pic:cNvPicPr/>
                  </pic:nvPicPr>
                  <pic:blipFill rotWithShape="1">
                    <a:blip r:embed="rId42">
                      <a:extLst>
                        <a:ext uri="{28A0092B-C50C-407E-A947-70E740481C1C}">
                          <a14:useLocalDpi xmlns:a14="http://schemas.microsoft.com/office/drawing/2010/main" val="0"/>
                        </a:ext>
                      </a:extLst>
                    </a:blip>
                    <a:srcRect l="13340" t="12257" r="51810" b="69743"/>
                    <a:stretch/>
                  </pic:blipFill>
                  <pic:spPr bwMode="auto">
                    <a:xfrm>
                      <a:off x="0" y="0"/>
                      <a:ext cx="1939290" cy="14173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D529F">
        <w:rPr>
          <w:rFonts w:cs="Times New Roman"/>
        </w:rPr>
        <w:t>bienestar subjetivo de los inmigrantes en España es inferior al de los autóctonos, aunque en Europa el nivel de ambos es prácticamente similar. Así, enfrentados a la necesidad de explicar estas sorprendentemente pequeñas diferencias existentes entre la felicidad de inmigrantes y nativos, pueden aventurar algunos argumentos tanto técnicos como sustantivos.</w:t>
      </w:r>
    </w:p>
    <w:p w14:paraId="1FE378FC" w14:textId="5574ED98" w:rsidR="0000205E" w:rsidRDefault="009C208A" w:rsidP="005D529F">
      <w:pPr>
        <w:rPr>
          <w:rFonts w:cs="Times New Roman"/>
        </w:rPr>
      </w:pPr>
      <w:r w:rsidRPr="005D529F">
        <w:rPr>
          <w:rFonts w:cs="Times New Roman"/>
        </w:rPr>
        <w:t>Por ejemplo, es evidente que las encuestas generales a la población no son la técnica ideal para describir condiciones de vida de colectivos que ocupan los márgenes del espacio social. Así, la probabilidad que tienen los inmigrantes asentados e integrados de ser incluidos en la muestra es mucho más alta que la de los inmigrantes excluidos socialmente. Otro argumento técnico apuntaría el hecho de que la mayor parte de los inmigrantes en Europa residen en los países más ricos, países que tienen un mayor nivel de felicidad media. Aunque el grado de bienestar emocional de estos inmigrantes sea más bajo que el de los nativos del país receptor, quizás sea relativamente más alto que el de los nativos que viven en países europeos económicamente menos desarrollados.</w:t>
      </w:r>
    </w:p>
    <w:p w14:paraId="7AF92DF4" w14:textId="77777777" w:rsidR="0000205E" w:rsidRDefault="009C208A" w:rsidP="005D529F">
      <w:pPr>
        <w:rPr>
          <w:rFonts w:cs="Times New Roman"/>
        </w:rPr>
      </w:pPr>
      <w:r w:rsidRPr="005D529F">
        <w:rPr>
          <w:rFonts w:cs="Times New Roman"/>
        </w:rPr>
        <w:t xml:space="preserve">También pudiera ser que la felicidad de los inmigrantes sea, en efecto, la que nos indican los datos. Si esto fuera así, sabiendo como sabemos que su condiciones de vida son en general bastante penosas, tendríamos que llegar a la conclusión de que carecemos de un modelo teórico capaz de explicar y comprender las lógicas y procesos sociales de su bienestar emocional. Quizás la estructura afectiva de los inmigrantes sea mucho más compleja de lo que, en principio, basándonos tan solo en estereotipos y en la inadecuada proyección de nuestros propios modelos de felicidad, estuviéramos dispuestos a reconocer. Bălţătescu (2005 y 2007), que estudió la satisfacción con la vida de los inmigrantes del Centro y del Este de Europa, señala tres grandes grupos de factores que condicionan el bienestar subjetivo de la persona migrante. A) Factores intrínsecos, o factores que el inmigrante trae consigo, como por ejemplo el bajo nivel de vida o el bajo nivel bienestar subjetivo que le hayan podido impulsar a la búsqueda de más oportunidades en otro país; el repudio de las condiciones societales o políticas de su país; o los valores sociales propios de la cultura de origen. B) Factores adquiridos, o vinculados con el desarrollo de la experiencia vital del inmigrante en el país de destino, como pueden ser el logro de empleo; los bajos salarios; la marginación; la exclusión jurídica; su vida sexual o afectiva; el choque cultural; o la red social que haya podido tejer. C) factores contextuales, o características macro de la estructura social del país receptor, como la política migratoria; la organización de los sistemas públicos o privados de salud; o las actitudes de la población autóctona hacia la emigración y los inmigrantes. Así, por ejemplo, Bălţătescu comprobó que los inmigrantes, pese a mostrar una menor satisfacción con la vida que los nativos, declaraban sistemáticamente una mayor </w:t>
      </w:r>
      <w:r w:rsidRPr="005D529F">
        <w:rPr>
          <w:rFonts w:cs="Times New Roman"/>
        </w:rPr>
        <w:lastRenderedPageBreak/>
        <w:t>satisfacción que ellos respecto a las condiciones políticas y sociales del país de destino. Esto es, mostraban mayor satisfacción con el estado de la economía, el gobierno de la nación, el modo en que funciona la democracia, el estado de la educación y el estado de los servicios de salud (Bălţătescu, 2007:77).</w:t>
      </w:r>
    </w:p>
    <w:p w14:paraId="6BF371AA" w14:textId="11DBAF4D" w:rsidR="0000205E" w:rsidRDefault="00ED68B0" w:rsidP="005D529F">
      <w:pPr>
        <w:rPr>
          <w:rFonts w:cs="Times New Roman"/>
        </w:rPr>
      </w:pPr>
      <w:r w:rsidRPr="005D529F">
        <w:rPr>
          <w:noProof/>
          <w:lang w:val="es-ES"/>
        </w:rPr>
        <w:drawing>
          <wp:anchor distT="0" distB="0" distL="114300" distR="114300" simplePos="0" relativeHeight="251691008" behindDoc="0" locked="0" layoutInCell="1" allowOverlap="1" wp14:anchorId="1A72B9AA" wp14:editId="27903AFC">
            <wp:simplePos x="0" y="0"/>
            <wp:positionH relativeFrom="column">
              <wp:posOffset>0</wp:posOffset>
            </wp:positionH>
            <wp:positionV relativeFrom="paragraph">
              <wp:posOffset>1003300</wp:posOffset>
            </wp:positionV>
            <wp:extent cx="3310890" cy="2032000"/>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6.5.pdf"/>
                    <pic:cNvPicPr/>
                  </pic:nvPicPr>
                  <pic:blipFill rotWithShape="1">
                    <a:blip r:embed="rId43">
                      <a:extLst>
                        <a:ext uri="{28A0092B-C50C-407E-A947-70E740481C1C}">
                          <a14:useLocalDpi xmlns:a14="http://schemas.microsoft.com/office/drawing/2010/main" val="0"/>
                        </a:ext>
                      </a:extLst>
                    </a:blip>
                    <a:srcRect l="13347" t="10844" r="35212" b="66847"/>
                    <a:stretch/>
                  </pic:blipFill>
                  <pic:spPr bwMode="auto">
                    <a:xfrm>
                      <a:off x="0" y="0"/>
                      <a:ext cx="3310890" cy="2032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C208A" w:rsidRPr="005D529F">
        <w:rPr>
          <w:rFonts w:cs="Times New Roman"/>
        </w:rPr>
        <w:t>El contraste comentado pone de manifiesto una evidente “paradoja de la satisfacción” que, como otras muchas, se nutre de las complejas comparaciones en las que necesariamente se inscribe la valoración de la vida que hacen los propios inmigrantes. Por este motivo, tal y como venimos defendiendo en el curso de esta investigación,  difícilmente podremos captar la complejidad inmanente a la felicidad  o al bienestar emocional con una única variable. Así, al estimar el valor de las cuatro dimensiones del IBSE, tanto en nativos como en inmigrantes (Tabla 6.5), se revela un hecho que puede aclarar en gran parte las dudas, más que razonables, que suscitaban los datos vistos hasta ahora. A saber: que el nivel medio de felicidad de los inmigrantes, un poco inferior o a veces similar al de los nativos, encubre una composición afectiva muy diferente. Por un lado, el bienestar emocional vinculado más directamente a las interacciones sociales, esto es, la dimensión de estatus, muestra un valor muchísimo más bajo que (</w:t>
      </w:r>
      <w:r w:rsidR="009C208A" w:rsidRPr="005D529F">
        <w:rPr>
          <w:rFonts w:cs="Times New Roman"/>
        </w:rPr>
        <w:noBreakHyphen/>
        <w:t>40,4) que el de los nativos (-10,6). Por otro lado, en la dimensión que valora la autoestima y la fortaleza del “yo”, es decir, el nivel de orgullo y optimismo, confianza, vemos que la media de los inmigrantes (27,0) es, paradójicamente, muy superior a la de los nativos (9,3). O quizás no tan paradójicamente, pues la fuerza y el optimismo personal son dos rasgos imprescindibles para tener el coraje de abordar con cierta serenidad las innumerables contingencias y riesgos que todo proyecto migratorio comporta.</w:t>
      </w:r>
    </w:p>
    <w:p w14:paraId="78900A3F" w14:textId="77777777" w:rsidR="0000205E" w:rsidRDefault="009C208A" w:rsidP="005D529F">
      <w:pPr>
        <w:rPr>
          <w:rFonts w:cs="Times New Roman"/>
        </w:rPr>
      </w:pPr>
      <w:r w:rsidRPr="005D529F">
        <w:rPr>
          <w:rFonts w:cs="Times New Roman"/>
        </w:rPr>
        <w:t xml:space="preserve"> Entre los factores intrínsecos que los inmigrantes traen consigo, y que sin duda determina en buena parte su relativamente elevado nivel de felicidad, se encuentra la fortaleza de su carácter personal que, al parecer, es inmune a la corrosión. A la inversa, es evidente que entre los factores adquiridos, forjados en el contacto con la sociedad receptora, la baja calidad de las interacciones sociales que los inmigrantes mantienen con su nuevo entorno reducen sustancialmente su grado de bienestar emocional. Dos dimensiones afectivas con niveles muy diferentes componían la media general de su bienestar. En suma, los inmigrantes compensan con la fuerza de su carácter personal las dificultades y penas que les provoca un entorno social en gran medida hostil.</w:t>
      </w:r>
    </w:p>
    <w:p w14:paraId="3EA21DA7" w14:textId="77777777" w:rsidR="0000205E" w:rsidRDefault="009C208A" w:rsidP="005D529F">
      <w:pPr>
        <w:rPr>
          <w:rFonts w:cs="Times New Roman"/>
        </w:rPr>
      </w:pPr>
      <w:r w:rsidRPr="005D529F">
        <w:rPr>
          <w:rFonts w:cs="Times New Roman"/>
        </w:rPr>
        <w:t xml:space="preserve">Si nos preguntáramos, ahora, hasta qué punto los inmigrantes se van adaptando con el tiempo a su situación, los estudios demuestran que “el bajo nivel de satisfacción con la </w:t>
      </w:r>
      <w:r w:rsidRPr="005D529F">
        <w:rPr>
          <w:rFonts w:cs="Times New Roman"/>
        </w:rPr>
        <w:lastRenderedPageBreak/>
        <w:t>vida de los inmigrantes no parece incrementarse con el tiempo, ni en las siguientes generaciones, tal y como la hipótesis de la asimilación predice” (Safi, 2010:160). Por nuestra parte diremos que las estimaciones realizadas con el IBSE, en la ESS</w:t>
      </w:r>
      <w:r w:rsidRPr="005D529F">
        <w:rPr>
          <w:rFonts w:cs="Times New Roman"/>
        </w:rPr>
        <w:noBreakHyphen/>
        <w:t>2006, confirman esta misma hipótesis. Ahora bien, hemos visto que la aparente estabilidad del bienestar de los inmigrantes a través de los años encubre de nuevo una evolución  cruzada de las dimensiones del “estatus” y de la “persona”. La idea que reflejan los datos es tan sencilla y simple como definitivamente reveladora: cuanto mayor es el número de años que lleva viviendo el inmigrante en la sociedad receptora, más alto es el bienestar derivado de la calidad del conjunto de sus interacciones sociales; a la inversa, conforme aumenta su tiempo de estancia en el país de destino, menor es el bienestar derivado de la fuerza personal que el inmigrante traía consigo.</w:t>
      </w:r>
    </w:p>
    <w:p w14:paraId="16D19208" w14:textId="77777777" w:rsidR="0000205E" w:rsidRDefault="009C208A" w:rsidP="005D529F">
      <w:pPr>
        <w:rPr>
          <w:rFonts w:cs="Times New Roman"/>
        </w:rPr>
      </w:pPr>
      <w:r w:rsidRPr="005D529F">
        <w:rPr>
          <w:rFonts w:cs="Times New Roman"/>
        </w:rPr>
        <w:t xml:space="preserve">La estabilidad del bienestar socioemocional del inmigrante a lo largo del tiempo se consigue mediante dos movimientos paralelos, pero de signo contrario, esto es, con una progresiva mejora de la integración social, y con un progresivo debilitamiento de la fortaleza o del ímpetu de su carácter personal. La pauta de mejora de la dimensión de estatus en los cuatro primeros quinquenios es la siguiente: -27,6; -18,0; </w:t>
      </w:r>
      <w:r w:rsidRPr="005D529F">
        <w:rPr>
          <w:rFonts w:cs="Times New Roman"/>
        </w:rPr>
        <w:noBreakHyphen/>
        <w:t xml:space="preserve">3,3; y </w:t>
      </w:r>
      <w:r w:rsidRPr="005D529F">
        <w:rPr>
          <w:rFonts w:cs="Times New Roman"/>
        </w:rPr>
        <w:noBreakHyphen/>
        <w:t>11,7. La pauta de progresivo debilitamiento de la fortaleza del carácter y del optimismo personal es, durante los primero veinte años de estancia, la siguiente: 25,8; 20,1; 5,2; y -0,6. Por último, interesa destacar que los datos también muestran el relativamente elevado grado de felicidad que los inmigrantes disfrutan durante su primer año. Estimado con datos de 2006, el valor general del IBSE de los inmigrantes durante el primer año de residencia en el país de destino es de 15,3. Es evidente que, no solo el sentido, sino fundamentalmente el logro de haber alcanzado el destino de su proyecto migratorio, eleva el bienestar emocional de la persona emigrante. Poco a poco, como en tantas otras situaciones de la vida, la cosas se van viendo emocionalmente de otra manera.</w:t>
      </w:r>
    </w:p>
    <w:p w14:paraId="11316ACF" w14:textId="51A657D8" w:rsidR="0000205E" w:rsidRDefault="00F37EA2" w:rsidP="00F37EA2">
      <w:r w:rsidRPr="005D529F">
        <w:rPr>
          <w:noProof/>
          <w:lang w:val="es-ES"/>
        </w:rPr>
        <w:drawing>
          <wp:anchor distT="0" distB="0" distL="114300" distR="114300" simplePos="0" relativeHeight="251692032" behindDoc="0" locked="0" layoutInCell="1" allowOverlap="1" wp14:anchorId="21305F20" wp14:editId="1450F882">
            <wp:simplePos x="0" y="0"/>
            <wp:positionH relativeFrom="column">
              <wp:posOffset>0</wp:posOffset>
            </wp:positionH>
            <wp:positionV relativeFrom="paragraph">
              <wp:posOffset>673100</wp:posOffset>
            </wp:positionV>
            <wp:extent cx="2796540" cy="2184400"/>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6.6.pdf"/>
                    <pic:cNvPicPr/>
                  </pic:nvPicPr>
                  <pic:blipFill rotWithShape="1">
                    <a:blip r:embed="rId44">
                      <a:extLst>
                        <a:ext uri="{28A0092B-C50C-407E-A947-70E740481C1C}">
                          <a14:useLocalDpi xmlns:a14="http://schemas.microsoft.com/office/drawing/2010/main" val="0"/>
                        </a:ext>
                      </a:extLst>
                    </a:blip>
                    <a:srcRect l="13341" t="10371" r="47902" b="68236"/>
                    <a:stretch/>
                  </pic:blipFill>
                  <pic:spPr bwMode="auto">
                    <a:xfrm>
                      <a:off x="0" y="0"/>
                      <a:ext cx="2796540" cy="21844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C208A" w:rsidRPr="005D529F">
        <w:t xml:space="preserve">El bajo nivel de bienestar en la dimensión de estatus del inmigrante se manifiesta en sus estados emocionales de depresión, tristeza y soledad. En la Tabla 6.6 se comparan estos sentimientos con los de la población nativa. En la categoría “algo” están incluidos los entrevistados que señalaron que se habían sentido deprimidos, tristes o solos “en algún momento”, “buena parte del tiempo” o “todo o casi todo el tiempo”. De este modo comprobamos que, en España, el porcentaje de inmigrantes “algo” deprimidos es 13,3 puntos superior al de los nativos; el porcentaje de inmigrantes “algo” tristes es 11,3 puntos superior; y el de inmigrantes que se sienten “algo” solos les supera en 15,6 puntos. En estos datos también son una prueba fehaciente de que la exclusión social deja una profunda huella en los estados afectivos de las personas. Aun cuando, como hemos visto, el </w:t>
      </w:r>
      <w:r w:rsidR="009C208A" w:rsidRPr="005D529F">
        <w:lastRenderedPageBreak/>
        <w:t>inmigrante trata de compensar la hostilidad del entorno social reforzando el orgullo personal, no logra silenciar del todo sus sentimientos; parece que tan solo consigue interponerles una pequeña sordina.</w:t>
      </w:r>
    </w:p>
    <w:p w14:paraId="0BF33328" w14:textId="77777777" w:rsidR="0000205E" w:rsidRDefault="009C208A" w:rsidP="005D529F">
      <w:pPr>
        <w:rPr>
          <w:rFonts w:cs="Times New Roman"/>
        </w:rPr>
      </w:pPr>
      <w:r w:rsidRPr="005D529F">
        <w:rPr>
          <w:rFonts w:cs="Times New Roman"/>
        </w:rPr>
        <w:t>Por tanto, cuanto mayor sea el grado de su exclusión social, mayor será su exclusión emocional de la felicidad, y es obvio que no todos los inmigrantes sufren la exclusión y la discriminación social con idéntico rigor. Por ejemplo, algunos estudios han demostrado, en el caso de Alemania, “que el sentimiento de pertenencia a la identidad germana y la habilidad de comunicarse en alemán incrementa significativamente la satisfacción con la vida declarada por el inmigrante” (Angelini, et al, 2014:13). Según estos autores, la diferencia entre nativos puede llegar a desaparecer si el inmigrante asimilara plenamente la cultura del país receptor. Ahora bien, esto solo demostraría que las sociedades receptoras penalizan emocionalmente a la persona inmigrante que no asimila su cultura. Estos datos únicamente pondrían de manifiesto que no se está tratando con idéntico respeto a los inmigrantes que no opten por una plena y completa asimilación cultural como único modo de integración social. Por tanto, el problema moral y humano que plantean estas penas socioemocionales es que existen  “otros” posibles modos de integración social (Colectivo IOÉ, 2010). No es moralmente aceptable utilizar el respeto y la falta de respeto en el juego social de la diferenciación y de la estigmatización social para fomentar un único modo de integración de las personas inmigrantes.</w:t>
      </w:r>
    </w:p>
    <w:p w14:paraId="354F0745" w14:textId="77777777" w:rsidR="0000205E" w:rsidRDefault="009C208A" w:rsidP="005D529F">
      <w:pPr>
        <w:rPr>
          <w:rFonts w:cs="Times New Roman"/>
        </w:rPr>
      </w:pPr>
      <w:r w:rsidRPr="005D529F">
        <w:rPr>
          <w:noProof/>
          <w:lang w:val="es-ES"/>
        </w:rPr>
        <w:drawing>
          <wp:anchor distT="0" distB="0" distL="114300" distR="114300" simplePos="0" relativeHeight="251693056" behindDoc="0" locked="0" layoutInCell="1" allowOverlap="1" wp14:anchorId="31A816FF" wp14:editId="2B7B4D15">
            <wp:simplePos x="0" y="0"/>
            <wp:positionH relativeFrom="column">
              <wp:posOffset>0</wp:posOffset>
            </wp:positionH>
            <wp:positionV relativeFrom="paragraph">
              <wp:posOffset>596900</wp:posOffset>
            </wp:positionV>
            <wp:extent cx="2696845" cy="3305175"/>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6.7.pdf"/>
                    <pic:cNvPicPr/>
                  </pic:nvPicPr>
                  <pic:blipFill rotWithShape="1">
                    <a:blip r:embed="rId45">
                      <a:extLst>
                        <a:ext uri="{28A0092B-C50C-407E-A947-70E740481C1C}">
                          <a14:useLocalDpi xmlns:a14="http://schemas.microsoft.com/office/drawing/2010/main" val="0"/>
                        </a:ext>
                      </a:extLst>
                    </a:blip>
                    <a:srcRect l="13348" t="10366" r="40455" b="49633"/>
                    <a:stretch/>
                  </pic:blipFill>
                  <pic:spPr bwMode="auto">
                    <a:xfrm>
                      <a:off x="0" y="0"/>
                      <a:ext cx="2696845" cy="33051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D529F">
        <w:rPr>
          <w:rFonts w:cs="Times New Roman"/>
        </w:rPr>
        <w:t xml:space="preserve">Dado que algunos estudios han demostrado que la discriminación percibida  explica una buena parte del malestar emocional que sufren los inmigrantes (Safi, 2010), queremos terminar este capítulo comprobando hasta qué punto los inmigrantes se sienten discriminados, esto es, si sienten que son tratados injustamente y con poco respeto. Teniendo en cuenta que, según mostraban los datos de la Tabla 6.4, el bienestar emocional de los inmigrantes en España era relativamente menor que el de los inmigrantes en otros países europeos, sería importante comprobar si este menor grado de felicidad pudiera deberse a diferencias en la percepción que tienen los inmigrantes en España, en comparación con los inmigrantes en otros países europeos, en cuanto al trato recibido por parte de la población autóctona. En este sentido, los datos de la Tabla 6.7 muestran los porcentajes de nativos e inmigrantes que, en España o en Europa, son tratados sin respeto e injustamente. Y estos datos demuestran que, en España, el porcentaje de inmigrantes que sienten que la gente le trata con poco respeto (18,1%) es casi el doble del porcentaje </w:t>
      </w:r>
      <w:r w:rsidRPr="005D529F">
        <w:rPr>
          <w:rFonts w:cs="Times New Roman"/>
        </w:rPr>
        <w:lastRenderedPageBreak/>
        <w:t>de españoles que tiene este mismo sentimiento (10,8%). Por otra parte, es importante subrayar que esto no sucede en Europa, pues allí los porcentajes de inmigrantes y nativos que se sienten tratados con poco respecto son bastante similares (16,9% y 17,5%, respectivamente).</w:t>
      </w:r>
    </w:p>
    <w:p w14:paraId="513E93C5" w14:textId="0BFE494F" w:rsidR="009C208A" w:rsidRDefault="009C208A" w:rsidP="005D529F">
      <w:pPr>
        <w:rPr>
          <w:rFonts w:cs="Times New Roman"/>
        </w:rPr>
      </w:pPr>
      <w:r w:rsidRPr="005D529F">
        <w:rPr>
          <w:rFonts w:cs="Times New Roman"/>
        </w:rPr>
        <w:t>Observando ahora los datos sobre el sentimiento que en 2006 tenían inmigrantes y nativos de recibir un trato injusto, vemos que la discriminación percibida de los inmigrantes europeos (31,5%) es mayor que la de los nativos de sus respectivos países (24,3%). Ahora bien, comprobamos que en el caso de España la diferencia entre ambos es abrumadora. Mientras que un 15,4% de los nativos españoles creen que la gente los trata injustamente bastante a menudo, en el caso de los inmigrantes el porcentajes más que se duplica, llegando a un alarmante 37,8%. En suma, el sentimiento de discriminación de los inmigrantes residentes en España es bastante mayor que el de los inmigrantes residentes en Europa, y ello podría explicar su menor grado relativo de bienestar emocional. En suma, el análisis aquí desarrollado demuestra que la falta de respeto y el trato injusto provocan sufrimiento en los otros, es decir, excluyen de la felicidad.</w:t>
      </w:r>
    </w:p>
    <w:p w14:paraId="5A8754D9" w14:textId="77777777" w:rsidR="003159BC" w:rsidRDefault="003159BC" w:rsidP="005D529F">
      <w:pPr>
        <w:rPr>
          <w:rFonts w:cs="Times New Roman"/>
        </w:rPr>
      </w:pPr>
    </w:p>
    <w:p w14:paraId="14CEE5BF" w14:textId="77777777" w:rsidR="003159BC" w:rsidRDefault="003159BC" w:rsidP="005D529F">
      <w:pPr>
        <w:rPr>
          <w:rFonts w:cs="Times New Roman"/>
        </w:rPr>
      </w:pPr>
    </w:p>
    <w:p w14:paraId="4A4AE146" w14:textId="77777777" w:rsidR="003159BC" w:rsidRDefault="003159BC" w:rsidP="005D529F">
      <w:pPr>
        <w:rPr>
          <w:rFonts w:cs="Times New Roman"/>
        </w:rPr>
        <w:sectPr w:rsidR="003159BC" w:rsidSect="00B12022">
          <w:headerReference w:type="default" r:id="rId46"/>
          <w:pgSz w:w="11900" w:h="16840"/>
          <w:pgMar w:top="2041" w:right="1814" w:bottom="1758" w:left="1814" w:header="709" w:footer="709" w:gutter="0"/>
          <w:pgNumType w:start="83"/>
          <w:cols w:space="708"/>
          <w:titlePg/>
          <w:docGrid w:linePitch="360"/>
        </w:sectPr>
      </w:pPr>
    </w:p>
    <w:p w14:paraId="6DD20C0B" w14:textId="77777777" w:rsidR="0000205E" w:rsidRDefault="0050270B" w:rsidP="003159BC">
      <w:pPr>
        <w:pStyle w:val="Ttulo1"/>
      </w:pPr>
      <w:bookmarkStart w:id="100" w:name="_Toc311991818"/>
      <w:bookmarkStart w:id="101" w:name="_Toc311993047"/>
      <w:bookmarkStart w:id="102" w:name="_Toc311998419"/>
      <w:r w:rsidRPr="005D529F">
        <w:lastRenderedPageBreak/>
        <w:t>7  Exclusiones sociales II. La pobreza</w:t>
      </w:r>
      <w:bookmarkEnd w:id="100"/>
      <w:bookmarkEnd w:id="101"/>
      <w:bookmarkEnd w:id="102"/>
    </w:p>
    <w:p w14:paraId="4A8469A1" w14:textId="77777777" w:rsidR="0000205E" w:rsidRDefault="0050270B" w:rsidP="003159BC">
      <w:pPr>
        <w:pStyle w:val="Ttulo2"/>
      </w:pPr>
      <w:bookmarkStart w:id="103" w:name="_Toc311991819"/>
      <w:bookmarkStart w:id="104" w:name="_Toc311993048"/>
      <w:r w:rsidRPr="005D529F">
        <w:t>7.1  El dinero y la felicidad</w:t>
      </w:r>
      <w:bookmarkEnd w:id="103"/>
      <w:bookmarkEnd w:id="104"/>
    </w:p>
    <w:p w14:paraId="0FB52477" w14:textId="77777777" w:rsidR="0000205E" w:rsidRDefault="0050270B" w:rsidP="005D529F">
      <w:pPr>
        <w:rPr>
          <w:rFonts w:cs="Times New Roman"/>
        </w:rPr>
      </w:pPr>
      <w:r w:rsidRPr="005D529F">
        <w:rPr>
          <w:rFonts w:cs="Times New Roman"/>
        </w:rPr>
        <w:t>La relación existente entre el dinero y la felicidad ha suscitado desde siempre, tanto en el ámbito de la sabiduría filosófica y popular, como en el de la investigación académica y científica, intensas controversias. Los criterios, argumentos y evidencias empíricas que pueden utilizar las personas para defender opiniones discrepantes pueden ser muy variadas. Además, las opiniones de unos y otros, la opinión de cada cuál, nunca es ajena ni a sus propios intereses individuales, ni tampoco a los colectivos. Para sí, cada uno, y de acuerdo con su situación personal, tenderá a mantener una creencia que le sea emocionalmente adecuada o “rentable”. Además, en tanto miembro de un grupo o de una clase social, también estará interesado en promover determinadas ideas sobre la relación entre el dinero y la felicidad. Hemos visto que Demócrito aconsejaba no compararse con las personas que contaban con mayor número de recursos y que, por tanto, gozaban de una bienestar material superior. Pero también sabemos, como puso de manifiesto Nietzche y Weber, que las religiones extramundanas, remitiendo la felicidad a otro mundo y promoviendo la resignación en éste, configuran ideologías muy funcionales para el mantenimiento de la paz social en el marco de estructuras sociales muy desigualitarias. Algunos sostienen que la felicidad, al fin y al cabo un estado del alma, subjetivo y personal, puede lograrse independientemente de cuales sean las condiciones externas y los bienes materiales que cada sujeto tenga a su disposición. Desde esta perspectiva, incluso en situaciones de penuria económica y de extrema pobreza puede alcanzarse la felicidad. Por el contrario, otros creen que para ser feliz se requieren unas condiciones externas básicas y un número mínimo de bienes y de recursos económicos. Según estos, el dinero no da la felicidad, pero ayuda bastante a conseguirla. Por último, en general todos aceptan que una cantidad muy elevada de dinero, o un afán desmedido por acumular riqueza, es contraproducente para el logro de la felicidad.</w:t>
      </w:r>
    </w:p>
    <w:p w14:paraId="6C8CC2C8" w14:textId="77777777" w:rsidR="0000205E" w:rsidRDefault="0050270B" w:rsidP="005D529F">
      <w:pPr>
        <w:rPr>
          <w:rFonts w:cs="Times New Roman"/>
        </w:rPr>
      </w:pPr>
      <w:r w:rsidRPr="005D529F">
        <w:rPr>
          <w:rFonts w:cs="Times New Roman"/>
        </w:rPr>
        <w:t>En la moderna investigación científica sobre la relación entre el dinero y la felicidad destaca la conocida paradoja de la renta y la felicidad o paradoja de Easterlin. Tras estudiar la evolución de algunos países, Easterlin (1974) descubrió que no existía relación aparente entre el crecimiento del Producto Interior Bruto de un país y sus niveles medios de felicidad. Sin embargo, encontró amplias diferencias en los niveles de felicidad declarados por las personas en el interior de cada uno de los países. Así, estos hallazgos parecían indicar que la riqueza no procuraba la felicidad, y que la mayor felicidad experimentada por los individuos afortunados de cada uno de los países era consecuencia directa de la comparación social, es decir, que estas personas se sentían más felices por el hecho de compararse con otras que vivían en peores condiciones que ellas.</w:t>
      </w:r>
    </w:p>
    <w:p w14:paraId="3D893CFB" w14:textId="77777777" w:rsidR="0000205E" w:rsidRDefault="0050270B" w:rsidP="005D529F">
      <w:pPr>
        <w:rPr>
          <w:rFonts w:cs="Times New Roman"/>
        </w:rPr>
      </w:pPr>
      <w:r w:rsidRPr="005D529F">
        <w:rPr>
          <w:rFonts w:cs="Times New Roman"/>
        </w:rPr>
        <w:lastRenderedPageBreak/>
        <w:t>Algunos investigadores han criticado la tesis de Easterlin poniendo al descubierto las debilidades metodológicas de su investigación (Veenhoven, 1991), o tratando de ofrecer una resolución metodológica a la supuesta paradoja (Ma y Zhang, 2014). El mismo Easterlin (2001, 2010) ha corregido posteriormente sus presupuestos iniciales. Finalmente, otros investigadores han tratado de comprender la paradoja explicando que los incrementos de riqueza benefician a los individuos en dos sentidos, por un lado aumentando sus posibilidades de consumo y, por otro, incrementando su estatus social. “Sin embargo, dado que el estatus es un juego de suma cero, solamente los beneficios del consumo se mantienen en el nivel agregado. Ahora bien, supuesto que los beneficios que reporta el consumo se aproximan a cero conforme los ingresos crecen, los perfiles de felicidad a lo largo del tiempo en los países desarrollados son planos” (Clark et al., 2008).</w:t>
      </w:r>
    </w:p>
    <w:p w14:paraId="5F8F150F" w14:textId="77777777" w:rsidR="0000205E" w:rsidRDefault="0050270B" w:rsidP="005D529F">
      <w:pPr>
        <w:rPr>
          <w:rFonts w:cs="Times New Roman"/>
        </w:rPr>
      </w:pPr>
      <w:r w:rsidRPr="005D529F">
        <w:rPr>
          <w:rFonts w:cs="Times New Roman"/>
        </w:rPr>
        <w:t>El hecho de que el nivel medio de felicidad de un país fuera independiente del crecimiento de su Producto Interior Bruto abonaba la idea de que el dinero y la felicidad no estaban correlacionados. Ahora bien, al comparar países con diferente nivel de renta  se demuestra empíricamente que, en general, los países ricos son más felices que los pobres. Por último, frente a la idea original de que existían grandes diferencias en la felicidad de los individuos en el interior de los países, muchos investigadores han mostrado que el nivel de ingresos no puede explicar totalmente esas diferencias. Antes al contrario, aunque parece fuera de toda duda que el dinero y la felicidad están correlacionados, en general los investigadores sostienen que la correlación es pequeña,  e incluso algunos llegan a considerarla insignificante.</w:t>
      </w:r>
    </w:p>
    <w:p w14:paraId="02F730FD" w14:textId="77777777" w:rsidR="0000205E" w:rsidRDefault="0050270B" w:rsidP="005D529F">
      <w:pPr>
        <w:rPr>
          <w:rFonts w:cs="Times New Roman"/>
        </w:rPr>
      </w:pPr>
      <w:r w:rsidRPr="005D529F">
        <w:rPr>
          <w:rFonts w:cs="Times New Roman"/>
        </w:rPr>
        <w:t xml:space="preserve">Todas estas controversias y paradojas nos muestran un hecho básico y fundamental que, por simple, a veces los investigadores olvidan. A saber, que el dinero y la felicidad son dos dimensiones vitales diferentes y que, por ello, la pretensión de encontrar elevadas correlaciones entre ambas es sencillamente vana. Si dinero y felicidad fueran exactamente los mismo, el proyecto de incorporar el bienestar emocional como una dimensión alternativa para la medición, tanto de la calidad de vida de los individuos como de la calidad de las sociedades, carecería por completo de sentido. La relación entre el dinero y la felicidad es mucho más compleja de lo que creemos, y su conocimiento requiere estudios minuciosos de situaciones concretas. El dinero, en las sociedades capitalistas, funciona como equivalente general de intercambio y como norma social. Esto explica que además de tener efectos sobre el poder de compra de los individuos, las diferencias de ingresos incorporen un importante componente simbólico y social (Veenhoven, 1984:196). Algunos investigadores afirman que no es posible conocer con exactitud el efecto neto del dinero sobre la felicidad: “con toda seguridad existe una relación causal entre el dinero y la felicidad, pero es casi imposible cuantificarla con precisión”  (Ma y Zhang, 2014:718). </w:t>
      </w:r>
    </w:p>
    <w:p w14:paraId="228ADE0E" w14:textId="77777777" w:rsidR="0000205E" w:rsidRDefault="0050270B" w:rsidP="005D529F">
      <w:pPr>
        <w:rPr>
          <w:rFonts w:cs="Times New Roman"/>
        </w:rPr>
      </w:pPr>
      <w:r w:rsidRPr="005D529F">
        <w:rPr>
          <w:rFonts w:cs="Times New Roman"/>
        </w:rPr>
        <w:t xml:space="preserve">Normalmente tendemos a pensar que el dinero puede darnos felicidad, pero algunas investigaciones han aportado evidencias de que la felicidad también puede reportarnos dinero (Marks y Fleming, 1999). Las personas optimistas, felices y que mantienen estados emocionales positivos parecen tener una mayor probabilidad de tener mayores </w:t>
      </w:r>
      <w:r w:rsidRPr="005D529F">
        <w:rPr>
          <w:rFonts w:cs="Times New Roman"/>
        </w:rPr>
        <w:lastRenderedPageBreak/>
        <w:t>ingresos en el futuro. Asimismo, es evidente que la evolución del Producto Interior Bruto de un país no tiene por qué ir en paralelo con la evolución de la felicidad. Entre otros motivos, porque con el incremento del PIB también cambian otros muchos factores que alteran la calidad de vida de las personas y la calidad de las sociedades. Brockmann et al. (2009) comprobaron que, pese al elevado crecimiento económico experimentado por China, sus niveles medios de felicidad habían descendido. Los investigadores atribuyen esta paradoja al hecho de que el nivel de vida de la gente ha crecido bastante menos que el de las élites, lo que ha creado grados crecientes de insatisfacción. La teoría de la privación relativa sería aplicable al caso. El crecimiento de las expectativas en períodos de prosperidad económica puede generar frustración y aumentar la insatisfacción de la gente. En cualquier caso, parece que la prosperidad económica experimentada por China durante las dos últimas décadas no parece haber incrementado el bienestar subjetivo del pueblo chino (Tang, 2013). Las grandes transformaciones y tensiones sociales generadas por su fabuloso crecimiento económico serían más que suficientes, por sí solas, para explicar el hecho de que la satisfacción con la vida no haya seguido el mismo rumbo ni el mismo paso que la riqueza.</w:t>
      </w:r>
    </w:p>
    <w:p w14:paraId="6B3F92E2" w14:textId="77777777" w:rsidR="0000205E" w:rsidRDefault="0050270B" w:rsidP="005D529F">
      <w:pPr>
        <w:rPr>
          <w:rFonts w:cs="Times New Roman"/>
        </w:rPr>
      </w:pPr>
      <w:r w:rsidRPr="005D529F">
        <w:rPr>
          <w:rFonts w:cs="Times New Roman"/>
        </w:rPr>
        <w:t>Según hemos dicho, las diferencias existentes en el nivel medio de felicidad de los países están bastante correlacionadas con la riqueza nacional. Ahora bien, de este hecho no podemos colegir que el dinero sea la causa del incremento de la felicidad. Los países ricos no se distinguen de los pobres exclusivamente por su nivel de riqueza, sino por otro gran número de factores que también influyen en la felicidad (Veenhoven, 1994:13). Los países ricos suelen ser más democráticos, más libres, más igualitarios, tiene unos estados de bienestar más consolidados y universales, y suelen ser más seguros. A la inversa, esto explica que la influencia de los ingresos económicos sobre la felicidad sea bastante mayor en los países pobres que en los ricos. En los países pobres la gente se tiene que valer por sí misma, así que los ingresos familiares determinan casi en su totalidad las condiciones de vida de las personas. Pero esto no es así en los estados sociales y de bienestar. Al mismo tiempo, al comparar unos países con otros comprobamos que la riqueza nacional está sometida a una ley de utilidades decrecientes. La felicidad se incrementa mucho si comparamos países pobres con mayor o menor renta, pero se incrementa poco al comparar países desarrollados con diferentes niveles de renta. De la misma forma, cuando analizamos el grado de felicidad de los individuos, vemos que pequeños incrementos de renta en personas pobres tienen un considerable efecto sobre su felicidad. Sin embargo, por encima de un determinado nivel de ingresos, el crecimiento de la renta disponible tiene un menor impacto sobre su bienestar emocional.</w:t>
      </w:r>
    </w:p>
    <w:p w14:paraId="00BB7630" w14:textId="77777777" w:rsidR="0000205E" w:rsidRDefault="0050270B" w:rsidP="005D529F">
      <w:pPr>
        <w:rPr>
          <w:rFonts w:cs="Times New Roman"/>
        </w:rPr>
      </w:pPr>
      <w:r w:rsidRPr="005D529F">
        <w:rPr>
          <w:rFonts w:cs="Times New Roman"/>
        </w:rPr>
        <w:t xml:space="preserve">Siguiendo a Diener y Biswas-Diener (2002:145-153), tres teorías podrían explicar buena parte de la paradojas y complejidades que encierra la relación dinero-felicidad. La teoría de la naturaleza humana sostiene que existen determinadas necesidades biológicas básicas y que, en la medida que el dinero posibilite la satisfacción de estas necesidades, los ingresos económicos estarán asociados a incrementos de bienestar emocional. Esto explicaría que el efecto del dinero sobre la felicidad sea mayor tanto en las personas pobres como en los países pobres. La teoría no explicaría, sin embargo, por qué las </w:t>
      </w:r>
      <w:r w:rsidRPr="005D529F">
        <w:rPr>
          <w:rFonts w:cs="Times New Roman"/>
        </w:rPr>
        <w:lastRenderedPageBreak/>
        <w:t>personas con mayor nivel de ingresos no son quienes disfrutan los mayores grados de felicidad. Por otro lado, esta teoría se enfrenta a un importante problema: resulta difícil definir cuales son las necesidades humanas básicas, y resulta difícil tanto medirlas como saber en qué momento podemos considerarlas suficientemente satisfechas. La teoría de las estándares relativos se basa en la idea de que las personas evaluamos nuestro bienestar utilizando varias referencias. Estas referencias definen los deseos cuya realización consideraremos como logros, y estos logros, en tanto sean percibidos como realizaciones personales, serán en sí mismos satisfactorios. A la inversa, el incumplimiento de metas nos produce sentimientos de frustración, que son en sí mismos insatisfactorios. En la medida que podamos satisfacer deseos o cumplir metas relacionadas con nuestro bienestar material, es decir, deseos y metas que puedan ser satisfechas teniendo suficiente dinero, nuestro bienestar subjetivo se incrementará. Cuando los estándares que usa la gente para valorar su bienestar material crezcan más que las propias condiciones de vida, no podría esperarse, a la luz de esta teoría, un incremento de los niveles de felicidad. Al mismo tiempo, si por comparación con las condiciones de vida de otros países o personas, consideramos que las nuestras constituyen un logro, entonces mostraremos un alto nivel de satisfacción. Por último, las teorías de la cultura se basan en la idea de que la gente está socializada en una cultura con un núcleo de valores y metas sociales. En la medida que las personas se ajusten a esos patrones mejorará su bienestar subjetivo. Si las ganancias económicas constituyen, en la sociedad capitalista, una señal de que el individuo ajusta su conducta a los valores centrales de su sociedad, en esa misma medida el éxito económico, incluso más allá del efecto que tenga el dinero sobre la mejora de las condiciones de vida, será capaz de procurarle felicidad. Pero si el sentido vital de las personas depende de la realización de otros valores sociales, individuos con escasos recursos económicos que ajusten su conducta a esos valores, también mostrarán grados relativamente altos de felicidad.</w:t>
      </w:r>
    </w:p>
    <w:p w14:paraId="6A86718B" w14:textId="77777777" w:rsidR="0000205E" w:rsidRDefault="0050270B" w:rsidP="005D529F">
      <w:pPr>
        <w:rPr>
          <w:rFonts w:cs="Times New Roman"/>
        </w:rPr>
      </w:pPr>
      <w:r w:rsidRPr="005D529F">
        <w:rPr>
          <w:rFonts w:cs="Times New Roman"/>
        </w:rPr>
        <w:t>Tendría mucho interés analizar con detalle cómo han evolucionado durante las últimas décadas, en España, el Producto Interior Bruto y la felicidad. También sería muy interesante comparar la riqueza de los distintos países europeos con sus respectivos grados de felicidad. Ahora bien, dado que el principal objetivo de este trabajo es analizar la estratificación social de la felicidad, en este capítulo se ofrecen datos del grado de bienestar emocional de los españoles según el nivel de ingresos del hogar. Como la pobreza no puede ser equiparada a una mera escasez de recursos económicos, también se ofrecerán datos sobre el bienestar emocional de las personas según la posición que ocupen en el espacio social. Por último, con el objeto de evaluar el impacto que la crisis económica de 2008 haya podido tener sobre el bienestar emocional de los españoles, analizaremos la relación existente entre la situación financiera de las familias, tanto en 2006 como en 2012, y el grado de felicidad de sus miembros.</w:t>
      </w:r>
    </w:p>
    <w:p w14:paraId="2FBBB39D" w14:textId="77777777" w:rsidR="0000205E" w:rsidRDefault="0050270B" w:rsidP="003159BC">
      <w:pPr>
        <w:pStyle w:val="Ttulo2"/>
      </w:pPr>
      <w:bookmarkStart w:id="105" w:name="_Toc311991820"/>
      <w:bookmarkStart w:id="106" w:name="_Toc311993049"/>
      <w:r w:rsidRPr="005D529F">
        <w:lastRenderedPageBreak/>
        <w:t>7.2  Los ingresos del hogar</w:t>
      </w:r>
      <w:bookmarkEnd w:id="105"/>
      <w:bookmarkEnd w:id="106"/>
    </w:p>
    <w:p w14:paraId="76152619" w14:textId="77777777" w:rsidR="0000205E" w:rsidRDefault="0050270B" w:rsidP="005D529F">
      <w:pPr>
        <w:rPr>
          <w:rFonts w:cs="Times New Roman"/>
        </w:rPr>
      </w:pPr>
      <w:r w:rsidRPr="005D529F">
        <w:rPr>
          <w:noProof/>
          <w:lang w:val="es-ES"/>
        </w:rPr>
        <w:drawing>
          <wp:anchor distT="0" distB="0" distL="114300" distR="114300" simplePos="0" relativeHeight="251695104" behindDoc="0" locked="0" layoutInCell="1" allowOverlap="1" wp14:anchorId="74DD75FD" wp14:editId="4E5E8B5D">
            <wp:simplePos x="0" y="0"/>
            <wp:positionH relativeFrom="column">
              <wp:posOffset>0</wp:posOffset>
            </wp:positionH>
            <wp:positionV relativeFrom="paragraph">
              <wp:posOffset>1714500</wp:posOffset>
            </wp:positionV>
            <wp:extent cx="2743200" cy="3640455"/>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7.1.pdf"/>
                    <pic:cNvPicPr/>
                  </pic:nvPicPr>
                  <pic:blipFill rotWithShape="1">
                    <a:blip r:embed="rId47">
                      <a:extLst>
                        <a:ext uri="{28A0092B-C50C-407E-A947-70E740481C1C}">
                          <a14:useLocalDpi xmlns:a14="http://schemas.microsoft.com/office/drawing/2010/main" val="0"/>
                        </a:ext>
                      </a:extLst>
                    </a:blip>
                    <a:srcRect l="13350" t="7544" r="44438" b="52866"/>
                    <a:stretch/>
                  </pic:blipFill>
                  <pic:spPr bwMode="auto">
                    <a:xfrm>
                      <a:off x="0" y="0"/>
                      <a:ext cx="2743200" cy="36404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D529F">
        <w:rPr>
          <w:rFonts w:cs="Times New Roman"/>
        </w:rPr>
        <w:t xml:space="preserve">La Tabla 7.1 incluye el nivel de bienestar socioemocional (IBSE) de los españoles, tanto en 2006 como en 2012, según el total de ingresos mensuales netos del hogar. Las escalas de ingresos ofrecidas a los entrevistados en sendas oleadas de la Encuesta Social Europea fueron diferentes y, por este motivo, los datos de ambos años no son estrictamente comparables. Sin embargo, el análisis de las dos escalas permite ver el grado de bienestar emocional de las personas en un abanico mucho más amplio de ingresos familiares. Observando los datos de 2006, que ofrecen un desglose mucho más detallado en la franja inferior de ingresos, se comprueba que, en los miembros de hogares con ingresos mensuales inferiores a los 1.500 euros, la relación entre ingresos y felicidad es lineal y directamente proporcional, Cuanto menor sea el nivel de ingresos del hogar, menor será el grado de felicidad de sus miembros. En este punto, es importante distinguir entre pobreza absoluta y pobreza relativa (Kingdon &amp; Knight, 2004). Cuando el nivel de ingresos de una familia está por debajo de los umbrales de pobreza absoluta, como por ejemplo sucede entre la familias españolas que en 2006 ingresaban menos de trescientos euros mensuales, el índice de bienestar socioemocional (IBSE) desciende por debajo del valor </w:t>
      </w:r>
      <w:r w:rsidRPr="005D529F">
        <w:rPr>
          <w:rFonts w:cs="Times New Roman"/>
        </w:rPr>
        <w:noBreakHyphen/>
        <w:t>30. Así, esto datos demuestran que, frente a algunas creencias interesadas, e incluso frente a algunos resultados científicos que avalan la tesis del escaso impacto que tienen los ingresos sobre la felicidad, existe una clara relación entre la pobreza absoluta y la infelicidad. Esta conclusión es incuestionable: los pobres son menos felices. Esta relación general se confirma en la encuesta de 2012, pues los miembros de familias con ingresos inferiores a 760 euros al mes tienen también un grado de felicidad muy bajo (-25,8). El grado de felicidad de los miembros de familias mileuristas, es decir, con ingresos inferiores a 1.160 euros, también tienen un grado de felicidad relativamente  bajo (-11,9).</w:t>
      </w:r>
    </w:p>
    <w:p w14:paraId="1A01FD57" w14:textId="77777777" w:rsidR="0000205E" w:rsidRDefault="0050270B" w:rsidP="005D529F">
      <w:pPr>
        <w:rPr>
          <w:rFonts w:cs="Times New Roman"/>
        </w:rPr>
      </w:pPr>
      <w:r w:rsidRPr="005D529F">
        <w:rPr>
          <w:rFonts w:cs="Times New Roman"/>
        </w:rPr>
        <w:t xml:space="preserve">La idea de que los miembros de familias con ingresos mensuales muy altos tienen un nivel de felicidad inferior a los miembros de hogares con una menor cantidad de ingresos (Diener y Biswas-Diener 2002), queda corroborada en los datos de 2006. Muchas investigaciones parecen avalar la idea de que la relación entre dinero y felicidad es </w:t>
      </w:r>
      <w:r w:rsidRPr="005D529F">
        <w:rPr>
          <w:rFonts w:cs="Times New Roman"/>
        </w:rPr>
        <w:lastRenderedPageBreak/>
        <w:t>curvilínea, lo que implica que las ganancias de felicidad que se obtienen incrementando los ingresos cuando ya se es bastante rico son decrecientes (Helliwell, 2002). En efecto, calculando el índice de bienestar socioemocional medio del conjunto de las cuatro categorías con mayor nivel de ingresos, que alcanza un valor de 4,2 en la escala IBSE, se demuestra que los miembros de familias con niveles de ingreso medios, es decir, las tres categorías precedentes, tiene unos mayores niveles de bienestar emocional (8,1; 10,9; y 9,8, respectivamente). Pero esta relación no siempre tiene que ser así. En los datos dela Tabla 7.1 puede comprobarse que en el año 2012, en plena crisis económica, los miembros de familias pobres seguían siendo muy infelices; los miembros de familias de clase media habían experimentado un deterioro substancial de sus niveles de felicidad; y los miembros de las familias con mayor nivel de ingresos habían mantenido, e incluso aumentado, sus niveles de felicidad.</w:t>
      </w:r>
    </w:p>
    <w:p w14:paraId="6B2C6CAC" w14:textId="77777777" w:rsidR="0000205E" w:rsidRDefault="0050270B" w:rsidP="005D529F">
      <w:pPr>
        <w:rPr>
          <w:rFonts w:cs="Times New Roman"/>
        </w:rPr>
      </w:pPr>
      <w:r w:rsidRPr="005D529F">
        <w:rPr>
          <w:rFonts w:cs="Times New Roman"/>
        </w:rPr>
        <w:t>En suma, estos datos parecen confirmar que existe una relación lineal entre dinero y felicidad en las familias con bajos ingresos. Dicho de otra manera, el grado de pobreza absoluta sí condiciona la felicidad. Estos datos también demuestran que las clases medias disfrutan, en general, de condiciones de vida que les ofrecen una ecuación óptima de felicidad, por lo que su bienestar emocional suele superar tanto al de las clases bajas como al de las altas. Ahora bien, esto no siempre tiene por qué ser así. Como hemos visto, los datos de 2012 muestran que la pobreza relativa, y los estándares de comparación, sea con respecto a otros grupos, sea con respecto al pasado, pueden hacer que las clases medias tenga un menor nivel de felicidad que las clases altas. En una crisis económica, las clases altas apenas sufren una reducción de su nivel absoluto de ingresos y, además, ante una pauperización generalizada de las clases bajas y medias, experimentan un mejora relativa de sus relaciones de intercambio económico, lo que paradójicamente puede dar lugar a que las clases altas, en una situación de crisis económica, eleven, en comparación con otras clases, su bienestar emocional.</w:t>
      </w:r>
    </w:p>
    <w:p w14:paraId="65C7D207" w14:textId="5960A1CF" w:rsidR="0050270B" w:rsidRPr="005D529F" w:rsidRDefault="0050270B" w:rsidP="005D529F">
      <w:pPr>
        <w:rPr>
          <w:rFonts w:cs="Times New Roman"/>
        </w:rPr>
      </w:pPr>
      <w:r w:rsidRPr="005D529F">
        <w:rPr>
          <w:rFonts w:cs="Times New Roman"/>
        </w:rPr>
        <w:t>Kingdon y Knight (2004:6) subrayan la idea del Banco Mundial de que el umbral de pobreza “comprende dos elementos: el gasto necesario para adquirir un mínimo nivel de alimentación y de otras necesidades básicas, y una cantidad complementaria, que varía de país a país, y que refleja el coste de la participación en la vida cotidiana de la sociedad”. El primero concierne al funcionamiento fisiológico, y requiere un nivel absoluto de bienes; el segundo concierne al funcionamiento social, y requiere un nivel de bienes que depende de la media de ingresos de esa sociedad. “Cuando los ingresos de un individuo aumentan partiendo de un nivel bajo, la felicidad aumentará en la medida que reduzca tanto la pobreza absoluta como la relativa; cuando ya se ha logrado el funcionamiento fisiológico, un posterior aumento de ingresos todavía puede incrementar la felicidad si mejora el funcionamiento social” (Kingdon y Knight, 2004:11). Siguiendo esta línea argumental, y tomando como referencia análisis realizados por Kahneman &amp; Deaton (2010), para quienes el dinero tiene efecto sobre la “satisfacción”, pero no tanto sobre la “felicidad” o el bienestar emocional, hemos comprobado hasta qué punto la pobreza económica agrava la situación de los individuos que se enfrentan a situaciones problemáticas.</w:t>
      </w:r>
    </w:p>
    <w:p w14:paraId="3DD155C6" w14:textId="77777777" w:rsidR="0050270B" w:rsidRPr="005D529F" w:rsidRDefault="0050270B" w:rsidP="005D529F">
      <w:pPr>
        <w:rPr>
          <w:rFonts w:cs="Times New Roman"/>
        </w:rPr>
      </w:pPr>
      <w:r w:rsidRPr="005D529F">
        <w:rPr>
          <w:rFonts w:cs="Times New Roman"/>
        </w:rPr>
        <w:lastRenderedPageBreak/>
        <w:t xml:space="preserve"> </w:t>
      </w:r>
    </w:p>
    <w:p w14:paraId="3A220674" w14:textId="77777777" w:rsidR="0000205E" w:rsidRDefault="0050270B" w:rsidP="005D529F">
      <w:pPr>
        <w:rPr>
          <w:rFonts w:cs="Times New Roman"/>
        </w:rPr>
      </w:pPr>
      <w:r w:rsidRPr="005D529F">
        <w:rPr>
          <w:noProof/>
          <w:lang w:val="es-ES"/>
        </w:rPr>
        <w:drawing>
          <wp:anchor distT="0" distB="0" distL="114300" distR="114300" simplePos="0" relativeHeight="251696128" behindDoc="0" locked="0" layoutInCell="1" allowOverlap="1" wp14:anchorId="164937F9" wp14:editId="7591AC18">
            <wp:simplePos x="0" y="0"/>
            <wp:positionH relativeFrom="column">
              <wp:posOffset>0</wp:posOffset>
            </wp:positionH>
            <wp:positionV relativeFrom="paragraph">
              <wp:posOffset>1193800</wp:posOffset>
            </wp:positionV>
            <wp:extent cx="3555365" cy="2171700"/>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7.2.pdf"/>
                    <pic:cNvPicPr/>
                  </pic:nvPicPr>
                  <pic:blipFill rotWithShape="1">
                    <a:blip r:embed="rId48">
                      <a:extLst>
                        <a:ext uri="{28A0092B-C50C-407E-A947-70E740481C1C}">
                          <a14:useLocalDpi xmlns:a14="http://schemas.microsoft.com/office/drawing/2010/main" val="0"/>
                        </a:ext>
                      </a:extLst>
                    </a:blip>
                    <a:srcRect l="13346" t="7071" r="31802" b="69254"/>
                    <a:stretch/>
                  </pic:blipFill>
                  <pic:spPr bwMode="auto">
                    <a:xfrm>
                      <a:off x="0" y="0"/>
                      <a:ext cx="3555365" cy="21717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D529F">
        <w:rPr>
          <w:rFonts w:cs="Times New Roman"/>
        </w:rPr>
        <w:t xml:space="preserve">La Tabla 7.2 presenta el nivel de bienestar emocional de individuos enfrentados a diversas catástrofes personales, según cual sea el nivel de ingresos de su hogar. En concreto, se comparan la primera, segunda y tercera decila de ingresos, es decir, el primer, el segundo y el tercer diez por ciento de los hogares europeos con menor nivel de ingresos, y el conjunto de familias que forman parte de las tres decilas con mayores ingresos. La conclusión que puede extraerse de estos datos es muy clara: aún en el supuesto que el dinero no diera la felicidad, ayuda mucho a sobrellevar las circunstancias adversas de la vida. Dicho de otro modo, la pobreza agrava los contratiempos vitales creando situaciones emocionalmente duras y difíciles de soportar. En suma, la jubilación del pobre no es emocionalmente la misma que la del rico, ni la viudedad del rico igual a la del pobre. El divorcio se sobrelleva emocionalmente bastante mejor si hay dinero, e igual sucede con el desempleo, e incluso con la discapacidad. Si nos detenemos un momento en esta última, es obvio que la adaptación a una discapacidad sobrevenida comporta un elevado coste económico que solo algunos pueden afrontar. Por ello, la catástrofe emocional que provoca la discapacidad en una persona con escasos recursos económicos será mucho más profunda, y más desesperada,  la que sufre una persona con un alto nivel de renta disponible. Aquí, el índice del bienestar emocional nos señala el sufrimiento de las personas y, por tanto, los efectos combinados que la desigualdad y el infortunio producen en la gente. El análisis de estos casos pone de manifiesto la necesidad de realizar estudios sobre el bienestar emocional de colectivos específicos, pues los efectos genéricos que pueden tener determinadas variables, como por ejemplo el dinero, sobre la felicidad y sobre el sufrimiento humano pueden llegar ser muy distintos. </w:t>
      </w:r>
    </w:p>
    <w:p w14:paraId="2E4E3CC8" w14:textId="44249060" w:rsidR="0000205E" w:rsidRDefault="0050270B" w:rsidP="005D529F">
      <w:pPr>
        <w:rPr>
          <w:rFonts w:cs="Times New Roman"/>
        </w:rPr>
      </w:pPr>
      <w:r w:rsidRPr="005D529F">
        <w:rPr>
          <w:rFonts w:cs="Times New Roman"/>
        </w:rPr>
        <w:t xml:space="preserve">Por último, veremos la influencia general que tiene el dinero sobre la felicidad de los españoles y europeos comparando los porcentajes de personas felices, contentas, satisfechas, insatisfechas e infelices que existen entre los más pobres y los más ricos. En la categoría “pobre” hemos seleccionado los entrevistados viven en el diez por ciento de hogares con menores ingresos. En la categoría “ricos” se incluyen aquellos que viven en el diez por ciento de hogares con mayores ingresos. Comparando estos porcentajes, así como comparando los estimados en otras investigaciones (Rojas, 2004), la impresión que se obtiene del efecto que tiene el dinero sobre la felicidad es muy distinta a la que nos ofrecen el cálculo de correlaciones estadísticas (Diener y Biswas-Diener, 2002:124). Veamos los datos de 2012. En España, la probabilidad que tiene un rico de ser feliz es </w:t>
      </w:r>
      <w:r w:rsidR="0000711C" w:rsidRPr="005D529F">
        <w:rPr>
          <w:noProof/>
          <w:lang w:val="es-ES"/>
        </w:rPr>
        <w:lastRenderedPageBreak/>
        <w:drawing>
          <wp:anchor distT="0" distB="0" distL="114300" distR="114300" simplePos="0" relativeHeight="251697152" behindDoc="0" locked="0" layoutInCell="1" allowOverlap="1" wp14:anchorId="01B947E9" wp14:editId="2DC5EE6C">
            <wp:simplePos x="0" y="0"/>
            <wp:positionH relativeFrom="column">
              <wp:posOffset>0</wp:posOffset>
            </wp:positionH>
            <wp:positionV relativeFrom="paragraph">
              <wp:posOffset>-635</wp:posOffset>
            </wp:positionV>
            <wp:extent cx="2628900" cy="2315210"/>
            <wp:effectExtent l="0" t="0" r="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7.3.pdf"/>
                    <pic:cNvPicPr/>
                  </pic:nvPicPr>
                  <pic:blipFill rotWithShape="1">
                    <a:blip r:embed="rId49">
                      <a:extLst>
                        <a:ext uri="{28A0092B-C50C-407E-A947-70E740481C1C}">
                          <a14:useLocalDpi xmlns:a14="http://schemas.microsoft.com/office/drawing/2010/main" val="0"/>
                        </a:ext>
                      </a:extLst>
                    </a:blip>
                    <a:srcRect l="13345" t="11785" r="42542" b="60761"/>
                    <a:stretch/>
                  </pic:blipFill>
                  <pic:spPr bwMode="auto">
                    <a:xfrm>
                      <a:off x="0" y="0"/>
                      <a:ext cx="2628900" cy="23152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D529F">
        <w:rPr>
          <w:rFonts w:cs="Times New Roman"/>
        </w:rPr>
        <w:t>tres veces superior a la de un pobre (22,0% frente a 7,5%). Por otra parte, solamente un 6,8% de los españoles con mayores ingresos están no satisfechos o no felices, mientras que entre los más pobres este porcentaje se eleva al 39,5%. Tras conocer estas informaciones empíricas, quizá alguien pueda seguir pensando que el dinero afecta más bien poco a la felicidad, aunque no creo que ya nadie albergue ninguna duda de que la pobreza excluye de la felicidad.</w:t>
      </w:r>
    </w:p>
    <w:p w14:paraId="3320C783" w14:textId="7B609AEE" w:rsidR="0000205E" w:rsidRDefault="0050270B" w:rsidP="005D529F">
      <w:pPr>
        <w:rPr>
          <w:rFonts w:cs="Times New Roman"/>
        </w:rPr>
      </w:pPr>
      <w:r w:rsidRPr="005D529F">
        <w:rPr>
          <w:rFonts w:cs="Times New Roman"/>
        </w:rPr>
        <w:t>En este momento es muy importante subrayar que la medida en que la pobreza excluya de la felicidad constituye un indicador esencial de la calidad de las sociedades. Así, mientras que en Europa la probabilidad de que un rico sea feliz es el doble que la de un pobre, esta ratio en España es, según hemos visto, mucho mayor, exactamente el triple. Asimismo, la probabilidad de que en España un persona pobre esté insatisfecha o sea infeliz es casi seis veces superior a la de una persona rica, exactamente 5,8 veces, mientras que en Europa es tan solo 3,4 veces, una razón de probabilidades bastante inferior. En conclusión, más allá de la desigualdad de ingresos existente en nuestro país que, como sabemos, es superior a la existente en Europa, estos datos revelan una realidad añadida y fundamental: el impacto que tiene la pobreza económica sobre el bienestar emocional de las personas es mucho mayor en España que en Europa. Dicho de otra forma, los datos demuestran la existencia de una mayor penalización emocional de la pobreza. Y esto significa que la sociedad española todavía puede esforzarse mucho, no solo para reducir las diferencias de ingresos, sino también para reducir el sufrimiento que la pobreza causa en la personas. En este caso, es evidente que el análisis emocional nos aporta un plus de información a la hora de valorar la calidad de las sociedades, esto es, a la hora de cuantificar la cantidad de sufrimiento causada por un específico sistema y organización social.</w:t>
      </w:r>
    </w:p>
    <w:p w14:paraId="18A25DD6" w14:textId="77777777" w:rsidR="0000205E" w:rsidRDefault="0050270B" w:rsidP="0000711C">
      <w:pPr>
        <w:pStyle w:val="Ttulo2"/>
      </w:pPr>
      <w:bookmarkStart w:id="107" w:name="_Toc311991821"/>
      <w:bookmarkStart w:id="108" w:name="_Toc311993050"/>
      <w:r w:rsidRPr="005D529F">
        <w:t>7.3</w:t>
      </w:r>
      <w:r w:rsidR="008D6A09" w:rsidRPr="005D529F">
        <w:t xml:space="preserve"> </w:t>
      </w:r>
      <w:r w:rsidRPr="005D529F">
        <w:t xml:space="preserve"> La posición social</w:t>
      </w:r>
      <w:bookmarkEnd w:id="107"/>
      <w:bookmarkEnd w:id="108"/>
    </w:p>
    <w:p w14:paraId="37A9B84D" w14:textId="77777777" w:rsidR="0000205E" w:rsidRDefault="0050270B" w:rsidP="005D529F">
      <w:pPr>
        <w:rPr>
          <w:rFonts w:cs="Times New Roman"/>
        </w:rPr>
      </w:pPr>
      <w:r w:rsidRPr="005D529F">
        <w:rPr>
          <w:rFonts w:cs="Times New Roman"/>
        </w:rPr>
        <w:t xml:space="preserve">Más allá del debate sobre el grado de correlación entre dinero y felicidad, ha de comprenderse que, al menos desde una perspectiva teórica, hubiera resultado sorprendente encontrar correlaciones muy altas entre ambas variables. En primer lugar, en ciencias sociales, una alta correlación entre dos variables suele ser el síntoma de una tautología conceptual, es decir, indicio de que en el fondo las dos variables analizadas son una y la misma cosa. Pero este no es el caso, pues está claro que el dinero y la felicidad son dos cosas bien diferentes. En segundo lugar, hay muchas razones teóricas que pueden explicar la baja o moderada correlación existente entre ambas variables. Algunas </w:t>
      </w:r>
      <w:r w:rsidRPr="005D529F">
        <w:rPr>
          <w:rFonts w:cs="Times New Roman"/>
        </w:rPr>
        <w:lastRenderedPageBreak/>
        <w:t xml:space="preserve">ya han sido expuestas, pero ahora, siguiendo la argumentación de Rojas (2004), citaremos otras tres: a) una persona es un ser humano multidimensional, es mucho más que un mero consumidor, por lo que su grado de felicidad dependerá, además del nivel de sus ingresos económicos, de otros muchos factores; b) Las personas pueden percibir subjetivamente su situación y su posición socioeconómica de muy diferentes maneras, por lo que las definiciones objetivas y cuantitativas de pobreza utilizadas por los economistas no tienen por qué corresponder con las suyas propias; y c) los objetivos vitales de la personas son muy heterogéneos, y si la felicidad depende de la realización de estos objetivos, no debemos asumir que en todas las personas el sentido de la vida estará asociado al consumo material, al logro de un mayor nivel de ingresos o al éxito económico. </w:t>
      </w:r>
    </w:p>
    <w:p w14:paraId="5BEFFF6E" w14:textId="77777777" w:rsidR="0000205E" w:rsidRDefault="0050270B" w:rsidP="005D529F">
      <w:pPr>
        <w:rPr>
          <w:rFonts w:cs="Times New Roman"/>
        </w:rPr>
      </w:pPr>
      <w:r w:rsidRPr="005D529F">
        <w:rPr>
          <w:rFonts w:cs="Times New Roman"/>
        </w:rPr>
        <w:t>Teniendo en cuenta estas consideraciones, el análisis de la estratificación social de la felicidad debe ir más allá del estudio de la posición económica de la personas. Debe analizar también las relaciones existentes entre la posición social y la felicidad. Concebir la pobreza como mera desigualdad económica constituye un reduccionismo economicista que no se corresponde en absoluto con la situación integral de vida a la que se tienen que enfrentar las personas pobres. No se trata, exclusivamente, de una escasez absoluta o relativa de recursos económicos. Si así fuera, la resolución del problema de la pobreza podría ser costosa, pero en todo caso sería simple. Sin embargo, como bien saben los trabajadores sociales, la pobreza es un fenómeno social total que implica una biografía, un estado del grupo familiar, una cultura de pobreza propia que se va cronificando e introyectando a lo largo del tiempo, una falta de esperanza y de horizontes, unas redes y un capital social deteriorado, unos bajos niveles educativos y, en general, unas capacidades menguantes. Es obvio que la variable de ingresos puede servir como aproximación al fenómeno de la pobreza, pero deja fuera de su ámbito muchas dimensiones claves y consustanciales. Por este motivo, el bienestar emocional puede ser una variable que capte de una forma más completa e integral el fenómeno de la pobreza en tanto situación de vida de las personas. Además, también es muy importante relacionar la posición social subjetiva de las personas y su nivel de bienestar emocional. Por un lado, se trata de una variable subjetiva de estatificación, pues se pidió a los entrevistados que se ubicaran en una escala social de diez peldaños, que iba desde la posición social más baja (0), a la más alta (10). Por otro lado, el concepto de posición social se adapta mejor a la noción global e integral de pobreza que trasciende la mera clasificación económica.</w:t>
      </w:r>
    </w:p>
    <w:p w14:paraId="712BEABC" w14:textId="0BCD297E" w:rsidR="0000205E" w:rsidRDefault="0050270B" w:rsidP="005D529F">
      <w:pPr>
        <w:rPr>
          <w:rFonts w:cs="Times New Roman"/>
        </w:rPr>
      </w:pPr>
      <w:r w:rsidRPr="005D529F">
        <w:rPr>
          <w:rFonts w:cs="Times New Roman"/>
        </w:rPr>
        <w:t xml:space="preserve">En la Tabla 7.4 puede comprobarse la enorme diferencia de bienestar emocional existente entre las personas que ocupan las posiciones sociales más bajas y las más altas. Comparando las posiciones sociales “0” y “9”, se observa que, en 2012, la diferencia en el índice de bienestar socioemocional (IBSE) en España es abrumadora, equivalente a 91,2 puntos, aún más abrumadora que la que existe en general en Europa, equivalente a 84,9 puntos. Pero más allá de la distancia existente en el IBSE entre las posiciones sociales más bajas y las más altas, que sin duda puede ser considerada como un indicador fundamental de desigualdad emocional, es humanamente muy importante valorar y </w:t>
      </w:r>
      <w:r w:rsidRPr="005D529F">
        <w:rPr>
          <w:rFonts w:cs="Times New Roman"/>
        </w:rPr>
        <w:lastRenderedPageBreak/>
        <w:t xml:space="preserve">asumir el bajísimo nivel de bienestar emocional que muestran las personas que se ubican a sí mismas ocupando los peldaños más bajos del espacio social, esto es, los cinco peldaños que van desde el “0” hasta el “4”. Todos ellos sufren una evidente exclusión de </w:t>
      </w:r>
      <w:r w:rsidR="0000711C" w:rsidRPr="005D529F">
        <w:rPr>
          <w:noProof/>
          <w:lang w:val="es-ES"/>
        </w:rPr>
        <w:drawing>
          <wp:anchor distT="0" distB="0" distL="114300" distR="114300" simplePos="0" relativeHeight="251698176" behindDoc="0" locked="0" layoutInCell="1" allowOverlap="1" wp14:anchorId="293CE15F" wp14:editId="58BD70CF">
            <wp:simplePos x="0" y="0"/>
            <wp:positionH relativeFrom="column">
              <wp:posOffset>0</wp:posOffset>
            </wp:positionH>
            <wp:positionV relativeFrom="paragraph">
              <wp:posOffset>685800</wp:posOffset>
            </wp:positionV>
            <wp:extent cx="2057400" cy="2915920"/>
            <wp:effectExtent l="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7.4.pdf"/>
                    <pic:cNvPicPr/>
                  </pic:nvPicPr>
                  <pic:blipFill rotWithShape="1">
                    <a:blip r:embed="rId50">
                      <a:extLst>
                        <a:ext uri="{28A0092B-C50C-407E-A947-70E740481C1C}">
                          <a14:useLocalDpi xmlns:a14="http://schemas.microsoft.com/office/drawing/2010/main" val="0"/>
                        </a:ext>
                      </a:extLst>
                    </a:blip>
                    <a:srcRect l="13348" t="8011" r="52454" b="57736"/>
                    <a:stretch/>
                  </pic:blipFill>
                  <pic:spPr bwMode="auto">
                    <a:xfrm>
                      <a:off x="0" y="0"/>
                      <a:ext cx="2057400" cy="29159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D529F">
        <w:rPr>
          <w:rFonts w:cs="Times New Roman"/>
        </w:rPr>
        <w:t>la felicidad. A diferencia de la variable de ingresos del hogar, en esta variable, que es subjetiva y personal, observamos que la correlación es prácticamente monotónica y lineal, esto es, que una posición social más baja implica, prácticamente siempre, tanto en España como en Europa, un menor grado de felicidad. Esta tabla nos habla con números, no de las “pequeñas miserias” y del “sufrimiento posicional” que los individuos experimentamos al ocupar posiciones sociales relativamente más bajas o más altas en nuestros particulares contextos de interacción, sino de la “gran miseria” a la que se refiere Bourdieu (1993). Esta tabla nos muestra con toda su crudeza cómo se distribuye el sufrimiento entre los seres humanos a lo largo y ancho de toda la estructura social.</w:t>
      </w:r>
    </w:p>
    <w:p w14:paraId="703BF474" w14:textId="54689466" w:rsidR="0000205E" w:rsidRDefault="0050270B" w:rsidP="005D529F">
      <w:pPr>
        <w:rPr>
          <w:rFonts w:cs="Times New Roman"/>
        </w:rPr>
      </w:pPr>
      <w:r w:rsidRPr="005D529F">
        <w:rPr>
          <w:rFonts w:cs="Times New Roman"/>
        </w:rPr>
        <w:t>La distribución de posiciones sociales en un sistema social implica algo más, y algo distinto, que la mera distribución de ingresos. Implica, como pudimos ver en el capítulo anterior, una distribución del respeto y del trato justo, e implica, también, una distribución del sentido vital que cada persona experimenta. El dinero, el respeto y el sentido de la vida, según postula la teoría sociológica de la infelicidad, configuran tres claves de estratificación social que tienen consecuencias directas sobre el bienestar socioemocional. El sentido que tengan para sí mismo las actividades que realice una persona, así como los logros que alcance en la persecución de aquellas metas  que valore y tenga por fundamentales en su vida, también determinarán sus niveles de felicidad.  Esta es otra de las razones por las que el nivel ingresos económicos no puede constituir un determinante mecánico del grado de bienestar emocional. Incluso habría que tener en cuenta que los sacrificios que muchas veces comporta la persecución  de nuestras metas puede arruinar el goce que pudiéramos obtener al alcanzar el destino final. Y esto también puede suceder con la obsesiva persecución de la riqueza. La investigación empírica ha acumulado suficientes evidencias que prueban que la adscripción a valores materialistas, así como el logro de riqueza como una meta fundamental de la vida, están correlacionados con un menor grado de bienestar emocional (Ryan y Deci, 2001) (Diener y Wisbas-Diener) (Kemper, 2014). Por un lado, las metas y objetivos materialistas no constituyen un deseo humano intrínsecamente satisfactorio. Por otro, quizás quienes centren sus esfuerzos en alcanzar metas materialistas adolezcan de vínculos sociales con sentido.</w:t>
      </w:r>
    </w:p>
    <w:p w14:paraId="6256F8C9" w14:textId="77777777" w:rsidR="0000205E" w:rsidRDefault="0050270B" w:rsidP="005D529F">
      <w:pPr>
        <w:rPr>
          <w:rFonts w:cs="Times New Roman"/>
        </w:rPr>
      </w:pPr>
      <w:r w:rsidRPr="005D529F">
        <w:rPr>
          <w:noProof/>
          <w:lang w:val="es-ES"/>
        </w:rPr>
        <w:lastRenderedPageBreak/>
        <w:drawing>
          <wp:anchor distT="0" distB="0" distL="114300" distR="114300" simplePos="0" relativeHeight="251699200" behindDoc="0" locked="0" layoutInCell="1" allowOverlap="1" wp14:anchorId="25F1D0FD" wp14:editId="0CAE3740">
            <wp:simplePos x="0" y="0"/>
            <wp:positionH relativeFrom="column">
              <wp:posOffset>0</wp:posOffset>
            </wp:positionH>
            <wp:positionV relativeFrom="paragraph">
              <wp:posOffset>1120140</wp:posOffset>
            </wp:positionV>
            <wp:extent cx="2514600" cy="3942715"/>
            <wp:effectExtent l="0" t="0" r="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7.5.pdf"/>
                    <pic:cNvPicPr/>
                  </pic:nvPicPr>
                  <pic:blipFill rotWithShape="1">
                    <a:blip r:embed="rId51">
                      <a:extLst>
                        <a:ext uri="{28A0092B-C50C-407E-A947-70E740481C1C}">
                          <a14:useLocalDpi xmlns:a14="http://schemas.microsoft.com/office/drawing/2010/main" val="0"/>
                        </a:ext>
                      </a:extLst>
                    </a:blip>
                    <a:srcRect l="13349" t="6601" r="51625" b="54590"/>
                    <a:stretch/>
                  </pic:blipFill>
                  <pic:spPr bwMode="auto">
                    <a:xfrm>
                      <a:off x="0" y="0"/>
                      <a:ext cx="2514600" cy="39427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D529F">
        <w:rPr>
          <w:rFonts w:cs="Times New Roman"/>
        </w:rPr>
        <w:t xml:space="preserve">En cualquier caso, interesa conocer hasta qué punto el valor social que los propios sujetos atribuyan a su actividad (sentido), así como la propia eficacia de esa misma actividad (logro), condicionarán su grado de felicidad. La Tabla 7.5 contiene los datos mediante los que podemos analizar esta relación, y estos datos demuestran que  una carencia de sentido social de la actividad que un individuo realiza está asociada a una reducción muy intensa de su grado de bienestar emocional. En España, el bienestar de quienes están convencidos de que su actividad no es ni valiosa ni útil es bajísimo, y equivalente a </w:t>
      </w:r>
      <w:r w:rsidRPr="005D529F">
        <w:rPr>
          <w:rFonts w:cs="Times New Roman"/>
        </w:rPr>
        <w:noBreakHyphen/>
        <w:t xml:space="preserve">66,6 puntos en la escala IBSE. Este profundo incremento del malestar emocional que provoca la falta de sentido también se registra en Europa. La distancia emocional existente entre quienes encuentran sentido a su actividad y quienes no le ven ningún sentido es abrumadora, alcanzando 80,2 puntos en España, y 74,5 en Europa. La eficacia de la actividad, considerada en tanto realización o logro de las metas que cada individuo se haya marcado a sí mismo, también condiciona de manera determinante el grado de bienestar emocional. El sentimiento vital de frustración provoca un profundo malestar en los individuos, como queda demostrado por el hecho de que el valor del IBSE en aquellas personas que no logran lo que se proponen desciende hasta el </w:t>
      </w:r>
      <w:r w:rsidRPr="005D529F">
        <w:rPr>
          <w:rFonts w:cs="Times New Roman"/>
        </w:rPr>
        <w:noBreakHyphen/>
        <w:t xml:space="preserve">75,5 en España, y hasta el </w:t>
      </w:r>
      <w:r w:rsidRPr="005D529F">
        <w:rPr>
          <w:rFonts w:cs="Times New Roman"/>
        </w:rPr>
        <w:noBreakHyphen/>
        <w:t>65,0 en Europa. Estos niveles, como ya sabemos, se corresponden con estructuras afectivas de puro sufrimiento e infelicidad. Asimismo, la distancia emocional entre los sentimientos de logro y de frustración es aún más abrumadora, siendo en España de 101,6 puntos en la escala del IBSE, y en Europa de 92,2. Es obvio, por otra parte, que tanto el sentido social como la eficacia de la acción, no están distribuidos igualitariamente ni entre las diferentes clases, ni entre las diferentes estatus sociales.</w:t>
      </w:r>
    </w:p>
    <w:p w14:paraId="504D9ED3" w14:textId="374E78C0" w:rsidR="0000205E" w:rsidRDefault="0050270B" w:rsidP="005D529F">
      <w:pPr>
        <w:rPr>
          <w:rFonts w:cs="Times New Roman"/>
        </w:rPr>
      </w:pPr>
      <w:r w:rsidRPr="005D529F">
        <w:rPr>
          <w:rFonts w:cs="Times New Roman"/>
        </w:rPr>
        <w:t xml:space="preserve">Por ultimo, la Tabla 7.6 ofrece la distribución porcentual de tipos de felicidad según la posición social subjetiva de las personas. A diferencia de la Tabla 7.3, en la que se comparaba exclusivamente los extremos de ingresos familiares, esto es, la primera y la última decila, en este caso, dada la mayor influencia de la posición social sobre la felicidad, se comparan las cuatro posiciones más bajas (de “0” a “3”), con las tres posiciones más altas (de “8” a “10”). Mediante esta tabla se ofrece una descripción bastante clara y precisa de las probabilidades que tienen las personas con alto o bajo estatus social de ser felices o infelices. La diferencias que nos muestran los datos son muy </w:t>
      </w:r>
      <w:r w:rsidRPr="005D529F">
        <w:rPr>
          <w:rFonts w:cs="Times New Roman"/>
        </w:rPr>
        <w:lastRenderedPageBreak/>
        <w:t xml:space="preserve">elevadas, y por ello mismo no requieren mayor comentario. Sin embargo, es importante subrayar el hecho de que, a diferencia de lo que sucedía con la renta, la razón de probabilidad que tienen de ser feliz o de estar contentas las personas de posiciones </w:t>
      </w:r>
      <w:r w:rsidR="0000711C" w:rsidRPr="005D529F">
        <w:rPr>
          <w:noProof/>
          <w:lang w:val="es-ES"/>
        </w:rPr>
        <w:drawing>
          <wp:anchor distT="0" distB="0" distL="114300" distR="114300" simplePos="0" relativeHeight="251700224" behindDoc="0" locked="0" layoutInCell="1" allowOverlap="1" wp14:anchorId="04273EE3" wp14:editId="587B314B">
            <wp:simplePos x="0" y="0"/>
            <wp:positionH relativeFrom="column">
              <wp:posOffset>0</wp:posOffset>
            </wp:positionH>
            <wp:positionV relativeFrom="paragraph">
              <wp:posOffset>685800</wp:posOffset>
            </wp:positionV>
            <wp:extent cx="2647315" cy="2286000"/>
            <wp:effectExtent l="0" t="0" r="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7.6.pdf"/>
                    <pic:cNvPicPr/>
                  </pic:nvPicPr>
                  <pic:blipFill rotWithShape="1">
                    <a:blip r:embed="rId52">
                      <a:extLst>
                        <a:ext uri="{28A0092B-C50C-407E-A947-70E740481C1C}">
                          <a14:useLocalDpi xmlns:a14="http://schemas.microsoft.com/office/drawing/2010/main" val="0"/>
                        </a:ext>
                      </a:extLst>
                    </a:blip>
                    <a:srcRect l="13349" t="7544" r="43155" b="65916"/>
                    <a:stretch/>
                  </pic:blipFill>
                  <pic:spPr bwMode="auto">
                    <a:xfrm>
                      <a:off x="0" y="0"/>
                      <a:ext cx="2647315" cy="2286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D529F">
        <w:rPr>
          <w:rFonts w:cs="Times New Roman"/>
        </w:rPr>
        <w:t xml:space="preserve">sociales altas y bajas es, en España, similar a la razón de probabilidades en Europa. Si tomamos ahora en consideración los porcentajes de “no satisfechos” y “no felices”, veremos que la razón de probabilidades entre las posiciones altas y bajas es bastante mayor en Europa (5,7) que en España (3,4). A la luz de estos datos, es obvio que futuras investigaciones deberían tratar de explicar por qué las relaciones que mantienen los ingresos económicos de las familias y las posiciones sociales de los individuos con la felicidad cambian en España y en Europa. </w:t>
      </w:r>
    </w:p>
    <w:p w14:paraId="4CD2D4FA" w14:textId="7BF5605B" w:rsidR="0000205E" w:rsidRDefault="0000205E" w:rsidP="005D529F">
      <w:pPr>
        <w:rPr>
          <w:rFonts w:cs="Times New Roman"/>
        </w:rPr>
      </w:pPr>
    </w:p>
    <w:p w14:paraId="16BBBBB1" w14:textId="77777777" w:rsidR="0000205E" w:rsidRDefault="008D6A09" w:rsidP="00E32255">
      <w:pPr>
        <w:pStyle w:val="Ttulo2"/>
      </w:pPr>
      <w:bookmarkStart w:id="109" w:name="_Toc311991822"/>
      <w:bookmarkStart w:id="110" w:name="_Toc311993051"/>
      <w:r w:rsidRPr="005D529F">
        <w:t xml:space="preserve">7.4 </w:t>
      </w:r>
      <w:r w:rsidR="0050270B" w:rsidRPr="005D529F">
        <w:t xml:space="preserve"> El impacto e</w:t>
      </w:r>
      <w:r w:rsidRPr="005D529F">
        <w:t>mocional de la crisis económica</w:t>
      </w:r>
      <w:bookmarkEnd w:id="109"/>
      <w:bookmarkEnd w:id="110"/>
    </w:p>
    <w:p w14:paraId="44F5CDB4" w14:textId="77777777" w:rsidR="0000205E" w:rsidRDefault="0050270B" w:rsidP="005D529F">
      <w:pPr>
        <w:rPr>
          <w:rFonts w:cs="Times New Roman"/>
        </w:rPr>
      </w:pPr>
      <w:r w:rsidRPr="005D529F">
        <w:rPr>
          <w:rFonts w:cs="Times New Roman"/>
        </w:rPr>
        <w:t xml:space="preserve">La gravedad de una crisis económica se mide mediante la tasa de crecimiento del Producto Interior Bruto, aunque el análisis económico, productivo y financiero de la misma requiere del concurso de otros muchos indicadores, como pueden ser la tasa de inflación, la variaciones de la deuda y del déficit público, el déficit comercial o la actualmente archiconocidísima prima de riesgo. Ahora bien, para medir las consecuencias sociales derivadas de una crisis necesitaremos unos indicadores diferentes. Mediremos la crisis laboral mediante la tasa de desempleo, contabilizando el número de personas que han perdido su trabajo, o analizando el deterioro que ha sufrido la población ocupada en sus condiciones de trabajo. En términos generales, consideramos muy importante medir la gravedad de la crisis laboral asociada a una crisis económica porque, al menos en nuestras sociedades, el trabajo constituye la principal fuente de ingresos. Así, por este camino, retornamos a la economía, ahora ya a la economía de las personas y de la familias, para obtener indicadores socioeconómicos fundamentales que nos permitan valorar con la necesaria precisión las consecuencias sociales de la crisis. Medimos el impacto social de la crisis, y la legitimidad general del sistema, analizando cómo evoluciona la desigualdad social, calculando la cantidad de personas que se encuentran en situación de pobreza relativa o absoluta, estimando el número de familias en las que ninguno de sus miembros trabaja, o cuantificando la pobreza infantil. En cualquier caso, es evidente que tanto el análisis de la crisis económica como el de la crisis social utilizan una misma unidad de medida, a saber, los </w:t>
      </w:r>
      <w:r w:rsidRPr="005D529F">
        <w:rPr>
          <w:rFonts w:cs="Times New Roman"/>
        </w:rPr>
        <w:lastRenderedPageBreak/>
        <w:t>ingresos, esto es, el dinero. Así, en general, los estudios sobre las consecuencias sociales de la crisis son trabajos que, en el fondo, analizan exclusivamente el impacto que está teniendo la crisis en los ingresos económicos de la población.</w:t>
      </w:r>
    </w:p>
    <w:p w14:paraId="715BCEEE" w14:textId="77777777" w:rsidR="0000205E" w:rsidRDefault="0050270B" w:rsidP="005D529F">
      <w:pPr>
        <w:rPr>
          <w:rFonts w:cs="Times New Roman"/>
        </w:rPr>
      </w:pPr>
      <w:r w:rsidRPr="005D529F">
        <w:rPr>
          <w:rFonts w:cs="Times New Roman"/>
        </w:rPr>
        <w:t>En este apartado queremos complementar los estudios sobre el impacto social de la crisis económica aportando informaciones que puedan ayudarnos a valorar el impacto emocional de la misma. A este respecto, es fundamental comprender que la relevancia humana de una crisis económica estribará, esencialmente, en el sufrimiento y la infelicidad que pueda llegar a causar, esto es, en su impacto emocional. En la medida que las personas sufran y sean más infelices, en esa misma medida podremos asegurar que la crisis económica, además de ser una crisis laboral y social, será también una crisis de bienestar emocional o una crisis de felicidad.</w:t>
      </w:r>
    </w:p>
    <w:p w14:paraId="301B016B" w14:textId="77777777" w:rsidR="0000205E" w:rsidRDefault="0050270B" w:rsidP="005D529F">
      <w:pPr>
        <w:rPr>
          <w:rFonts w:cs="Times New Roman"/>
        </w:rPr>
      </w:pPr>
      <w:r w:rsidRPr="005D529F">
        <w:rPr>
          <w:rFonts w:cs="Times New Roman"/>
        </w:rPr>
        <w:t xml:space="preserve">A lo largo de este libro ya se han ido aportando algunos datos que pueden considerarse fundamentales a la hora de establecer el balance emocional de la crisis económica. Así, hemos visto que el valor del índice de bienestar emocional, en España, ha experimentado un descenso desde el </w:t>
      </w:r>
      <w:r w:rsidRPr="005D529F">
        <w:rPr>
          <w:rFonts w:cs="Times New Roman"/>
        </w:rPr>
        <w:noBreakHyphen/>
        <w:t xml:space="preserve">0,84 en 2006, año que forma parte del período de crecimiento, hasta el </w:t>
      </w:r>
      <w:r w:rsidRPr="005D529F">
        <w:rPr>
          <w:rFonts w:cs="Times New Roman"/>
        </w:rPr>
        <w:noBreakHyphen/>
        <w:t>7,78 en 2012, año en el que la crisis ya había dejado notar claramente sus efectos. Hemos visto que el desempleo reduce drásticamente el bienestar emocional de las personas y, por tanto, es evidente que una profunda crisis laboral, como la que está experimentando España, está provocando muchísimo sufrimiento y dolor. Hemos demostrado, incluso, que el miedo a perder el trabajo provoca, por sí mismo, una intensa reducción de la felicidad en aquellas personas amenazadas por el desempleo. Por otra parte, en este mismo capítulo hemos comprobado que la pobreza económica de una familia comporta una reducción substancial del grado de bienestar emocional que experimenta cada uno de sus miembros. Y, sobre todo, hemos visto que la desigualdad de ingresos no nos cuenta toda la historia del impacto humano que una crisis económica pueda tener sobre las personas. En este sentido, se ha demostrado que en algunos países, como así también sucede en España, el impacto emocional de la desigualdad de ingresos es más elevado que en otros. Por tanto, ya sabemos que en nuestro país la desigualdad de ingresos causa, en términos comparativos, mucho más sufrimiento y dolor.</w:t>
      </w:r>
    </w:p>
    <w:p w14:paraId="30EF68A1" w14:textId="77777777" w:rsidR="0000205E" w:rsidRDefault="0050270B" w:rsidP="005D529F">
      <w:pPr>
        <w:rPr>
          <w:rFonts w:cs="Times New Roman"/>
        </w:rPr>
      </w:pPr>
      <w:r w:rsidRPr="005D529F">
        <w:rPr>
          <w:rFonts w:cs="Times New Roman"/>
        </w:rPr>
        <w:t xml:space="preserve">Un análisis definitivo y completo del impacto emocional de la crisis económica de 2008 en España requeriría contar con estudios longitudinales realizados mediante encuestas panel, encuestas que por desgracia, y a diferencia de lo que sucede en otros países europeos, todavía son muy infrecuentes en la investigación sociológica española. En su defecto, necesitaríamos al menos disponer de una serie temporal que describiera la evolución mensual o trimestral de las estructuras afectivas de los españoles. Pero como la investigación social todavía no incorpora, de modo rutinario o sistemático, preguntas sobre estados emocionales en sus cuestionarios de encuesta, esta información tampoco está disponible. Por este motivo, en el presente epígrafe nos limitaremos a complementar la información dada hasta ahora sobre el impacto emocional que la crisis económica haya podido causar entre los españoles, aportando datos, elaborados con la Encuesta Social Europea, sobre el efecto que pudiera tener la situación financiera de las familias, tanto en </w:t>
      </w:r>
      <w:r w:rsidRPr="005D529F">
        <w:rPr>
          <w:rFonts w:cs="Times New Roman"/>
        </w:rPr>
        <w:lastRenderedPageBreak/>
        <w:t>2006 como en 2012, en el bienestar socioemocional de sus miembros. Así mismo, utilizando un barómetro de opinión pública realizado por el Centro de Investigaciones Sociológicas en diciembre de 2011, se aportarán datos del bienestar emocional de los españoles según la intensidad con que les haya afectado la crisis.</w:t>
      </w:r>
    </w:p>
    <w:p w14:paraId="356B2476" w14:textId="77777777" w:rsidR="0000205E" w:rsidRDefault="0050270B" w:rsidP="005D529F">
      <w:pPr>
        <w:rPr>
          <w:rFonts w:cs="Times New Roman"/>
        </w:rPr>
      </w:pPr>
      <w:r w:rsidRPr="005D529F">
        <w:rPr>
          <w:rFonts w:cs="Times New Roman"/>
        </w:rPr>
        <w:t>En primer lugar, veremos el impacto que ha tenido la crisis económica analizando el grado de tensión financieras que soportan las familias para llegar a fin de mes. La ESS preguntó a los entrevistados, tanto en 2006 como en 2012, cómo se sentían con respecto a los ingresos de su hogar en la actualidad, ofreciéndoles cuatro posibles respuestas: con los ingresos actuales vivimos cómodamente; nos llega para vivir; tenemos dificultades; o tenemos muchas dificultades. Esta pregunta es muy relevante porque una crisis económica, al provocar caídas de ingresos familiares  bruscas y/o repentinas, genera una insuficiencia o inadaptación financiera respecto a la estructura de consumo habitual o al nivel de gasto familiar precedente. La pregunta es un buen indicador de dos fenómenos socioeconómicos fundamentales: a) de la relativa suficiencia de los actuales ingresos familiares con respecto al pasado, y b) de la relativa suficiencia de la renta familiar disponible con respecto a los estándares de vida considerados normales en una determinada sociedad. En cualquier caso, es preciso tener en cuenta que se trata de una valoración subjetiva, es decir, un indicador de satisfacción financiera (Diener y Biswas-Diener, 2002:130).</w:t>
      </w:r>
    </w:p>
    <w:p w14:paraId="61038160" w14:textId="77777777" w:rsidR="0000205E" w:rsidRDefault="007C5C51" w:rsidP="005D529F">
      <w:pPr>
        <w:rPr>
          <w:rFonts w:cs="Times New Roman"/>
        </w:rPr>
      </w:pPr>
      <w:r w:rsidRPr="005D529F">
        <w:rPr>
          <w:noProof/>
          <w:lang w:val="es-ES"/>
        </w:rPr>
        <w:drawing>
          <wp:anchor distT="0" distB="0" distL="114300" distR="114300" simplePos="0" relativeHeight="251701248" behindDoc="0" locked="0" layoutInCell="1" allowOverlap="1" wp14:anchorId="67A13B74" wp14:editId="2C1A31A3">
            <wp:simplePos x="0" y="0"/>
            <wp:positionH relativeFrom="column">
              <wp:posOffset>0</wp:posOffset>
            </wp:positionH>
            <wp:positionV relativeFrom="paragraph">
              <wp:posOffset>520700</wp:posOffset>
            </wp:positionV>
            <wp:extent cx="2570480" cy="3263265"/>
            <wp:effectExtent l="0" t="0" r="0" b="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7.7.pdf"/>
                    <pic:cNvPicPr/>
                  </pic:nvPicPr>
                  <pic:blipFill rotWithShape="1">
                    <a:blip r:embed="rId53">
                      <a:extLst>
                        <a:ext uri="{28A0092B-C50C-407E-A947-70E740481C1C}">
                          <a14:useLocalDpi xmlns:a14="http://schemas.microsoft.com/office/drawing/2010/main" val="0"/>
                        </a:ext>
                      </a:extLst>
                    </a:blip>
                    <a:srcRect l="13350" t="7072" r="45131" b="55698"/>
                    <a:stretch/>
                  </pic:blipFill>
                  <pic:spPr bwMode="auto">
                    <a:xfrm>
                      <a:off x="0" y="0"/>
                      <a:ext cx="2570480" cy="32632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0270B" w:rsidRPr="005D529F">
        <w:rPr>
          <w:rFonts w:cs="Times New Roman"/>
        </w:rPr>
        <w:t xml:space="preserve">Con los datos de la Tabla 7.7. podemos comprobar la profundidad social de la crisis económica comparando los datos en ambos años. Así, vemos que el porcentaje de población española que manifiesta tener dificultades o muchas dificultades con los ingresos familiares actuales se duplicó entre 2006 y 2012, pasando del 16,9% al 31,1%.  Esto es, en el año 2012 prácticamente uno de cada tres españoles estaba experimentado tensiones financieras en su familia. Mientras que en 2006 el 83,1% de los españoles vivía cómodamente o le llegaba para vivir, tan solo seis años más tarde el porcentaje desciende al 68,9%. Comparando los datos con Europa, comprobamos que la satisfacción de los españoles con los ingresos familiares era en 2006 algo más alta que la que mostraban los europeos (83,1% y 79,65, respectivamente). Sin embargo, mientras que la satisfacción de los europeos en 2012 apenas desciende levemente, tan solo cae 3,2 puntos porcentuales, la satisfacción financiera familiar de los españoles se desploma, descendiendo 14,2 </w:t>
      </w:r>
      <w:r w:rsidR="0050270B" w:rsidRPr="005D529F">
        <w:rPr>
          <w:rFonts w:cs="Times New Roman"/>
        </w:rPr>
        <w:lastRenderedPageBreak/>
        <w:t>puntos. La crisis socio-financiera de las familias españolas no tiene parangón con la experimentada, en general, por las familias europeas.</w:t>
      </w:r>
    </w:p>
    <w:p w14:paraId="04D79AC5" w14:textId="77777777" w:rsidR="0000205E" w:rsidRDefault="0050270B" w:rsidP="005D529F">
      <w:pPr>
        <w:rPr>
          <w:rFonts w:cs="Times New Roman"/>
        </w:rPr>
      </w:pPr>
      <w:r w:rsidRPr="005D529F">
        <w:rPr>
          <w:noProof/>
          <w:lang w:val="es-ES"/>
        </w:rPr>
        <w:drawing>
          <wp:anchor distT="0" distB="0" distL="114300" distR="114300" simplePos="0" relativeHeight="251702272" behindDoc="0" locked="0" layoutInCell="1" allowOverlap="1" wp14:anchorId="60F8C41B" wp14:editId="71B78E65">
            <wp:simplePos x="0" y="0"/>
            <wp:positionH relativeFrom="column">
              <wp:posOffset>0</wp:posOffset>
            </wp:positionH>
            <wp:positionV relativeFrom="paragraph">
              <wp:posOffset>660400</wp:posOffset>
            </wp:positionV>
            <wp:extent cx="2400300" cy="3129280"/>
            <wp:effectExtent l="0" t="0" r="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7.8.pdf"/>
                    <pic:cNvPicPr/>
                  </pic:nvPicPr>
                  <pic:blipFill rotWithShape="1">
                    <a:blip r:embed="rId54">
                      <a:extLst>
                        <a:ext uri="{28A0092B-C50C-407E-A947-70E740481C1C}">
                          <a14:useLocalDpi xmlns:a14="http://schemas.microsoft.com/office/drawing/2010/main" val="0"/>
                        </a:ext>
                      </a:extLst>
                    </a:blip>
                    <a:srcRect l="13351" t="8961" r="46445" b="53992"/>
                    <a:stretch/>
                  </pic:blipFill>
                  <pic:spPr bwMode="auto">
                    <a:xfrm>
                      <a:off x="0" y="0"/>
                      <a:ext cx="2400300" cy="31292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D529F">
        <w:rPr>
          <w:rFonts w:cs="Times New Roman"/>
        </w:rPr>
        <w:t>Debemos suponer, como así lo han mostrando algunos otros estudios (Gudmundsdottir, 2011), que las tensiones financieras de las familias tendrán algún impacto sobre el bienestar emocional de sus miembros. De no ser así, las crisis económicas no supondrían ningún problema, ya que el verdadero problema de todos los problemas sociales no puede ser otro que el sufrimiento, el dolor y la infelicidad que causan a las personas concretas, es decir, a personas de carne y hueso. Pero además de suponer, la estimación de datos incluida en la Tabla 7.8, demuestra el gran impacto que la situación financiera del hogar tiene sobre la felicidad de las personas, esto es, demuestra el gran impacto emocional que la crisis de 2008 está causando en los españoles. En 2006, la diferencia de bienestar emocional que existe entre quienes viven “cómodamente” (13,0), y quienes tienen muchas dificultades (-52,5), es muy grande, llegando a los 65,5 puntos de la escala IBSE. En cualquier caso, el hecho determinante es que los miembros de familias que tienen muchas dificultades debido a la escasez de sus ingresos son personas excluidas de la felicidad.</w:t>
      </w:r>
    </w:p>
    <w:p w14:paraId="1EB54C95" w14:textId="75909574" w:rsidR="0000205E" w:rsidRDefault="0050270B" w:rsidP="005D529F">
      <w:pPr>
        <w:rPr>
          <w:rFonts w:cs="Times New Roman"/>
        </w:rPr>
      </w:pPr>
      <w:r w:rsidRPr="005D529F">
        <w:rPr>
          <w:rFonts w:cs="Times New Roman"/>
        </w:rPr>
        <w:t>La comparación del grado de felicidad de estas personas en 2006 (</w:t>
      </w:r>
      <w:r w:rsidRPr="005D529F">
        <w:rPr>
          <w:rFonts w:cs="Times New Roman"/>
        </w:rPr>
        <w:noBreakHyphen/>
        <w:t>52,5), con el grado de 2012 (</w:t>
      </w:r>
      <w:r w:rsidRPr="005D529F">
        <w:rPr>
          <w:rFonts w:cs="Times New Roman"/>
        </w:rPr>
        <w:noBreakHyphen/>
        <w:t xml:space="preserve">36,0), podría llevarnos a pensar que, en una situación de crisis, el efecto que las dificultades financieras de las familias tiene sobre el bienestar emocional de las personas es bastante menor. De hecho, parece como si la crisis hubiese producido una especie de igualación emocional. Así, mientras que en 2006, según hemos visto, la distancia emocional entre las posiciones extremas era de 65,5 puntos, en 2012 esta misma distancia queda reducida a 45,5 puntos de la escala IBSE. ¿Cómo podría explicarse esta paradoja emocional? Aplicando la perspectiva de la comparación social, podríamos argumentar que las dificultades financieras experimentadas por una familia en un contexto de bonanza y de optimismo económico generalizado, quizás de lugar a un mayor sentimiento de infelicidad y de malestar emocional. A la inversa, también podría argumentarse que cuando uno de cada tres españoles vive en una familia con dificultades financieras, como sucedía en 2012, quizás las personas asuman como “normal” esta situación, y no se crean o se sientan tan infelices. En todo caso, es evidente que esta paradoja emocional, como tantas otras, requiere una buena explicación, y no tan solo algunas conjeturas. Otro posible argumento consistiría en señalar que, habiéndose triplicado el número de españoles con dificultades financieras en sus familias (del 2,7% al 8,4%), es razonable que la media de felicidad no sea tan baja, ya que ahora no estamos </w:t>
      </w:r>
      <w:r w:rsidRPr="005D529F">
        <w:rPr>
          <w:rFonts w:cs="Times New Roman"/>
        </w:rPr>
        <w:lastRenderedPageBreak/>
        <w:t>analizando un colectivo prácticamente marginal de la sociedad, sino casi el diez por ciento de la misma.</w:t>
      </w:r>
    </w:p>
    <w:p w14:paraId="56DD1AA1" w14:textId="77777777" w:rsidR="0000205E" w:rsidRDefault="0050270B" w:rsidP="005D529F">
      <w:pPr>
        <w:rPr>
          <w:rFonts w:cs="Times New Roman"/>
        </w:rPr>
      </w:pPr>
      <w:r w:rsidRPr="005D529F">
        <w:rPr>
          <w:noProof/>
          <w:lang w:val="es-ES"/>
        </w:rPr>
        <w:drawing>
          <wp:anchor distT="0" distB="0" distL="114300" distR="114300" simplePos="0" relativeHeight="251703296" behindDoc="0" locked="0" layoutInCell="1" allowOverlap="1" wp14:anchorId="7F0410A8" wp14:editId="067D2029">
            <wp:simplePos x="0" y="0"/>
            <wp:positionH relativeFrom="column">
              <wp:posOffset>0</wp:posOffset>
            </wp:positionH>
            <wp:positionV relativeFrom="paragraph">
              <wp:posOffset>891540</wp:posOffset>
            </wp:positionV>
            <wp:extent cx="2514600" cy="3444875"/>
            <wp:effectExtent l="0" t="0" r="0"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7.9.pdf"/>
                    <pic:cNvPicPr/>
                  </pic:nvPicPr>
                  <pic:blipFill rotWithShape="1">
                    <a:blip r:embed="rId55">
                      <a:extLst>
                        <a:ext uri="{28A0092B-C50C-407E-A947-70E740481C1C}">
                          <a14:useLocalDpi xmlns:a14="http://schemas.microsoft.com/office/drawing/2010/main" val="0"/>
                        </a:ext>
                      </a:extLst>
                    </a:blip>
                    <a:srcRect l="13350" t="8016" r="47122" b="53713"/>
                    <a:stretch/>
                  </pic:blipFill>
                  <pic:spPr bwMode="auto">
                    <a:xfrm>
                      <a:off x="0" y="0"/>
                      <a:ext cx="2514600" cy="34448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D529F">
        <w:rPr>
          <w:rFonts w:cs="Times New Roman"/>
        </w:rPr>
        <w:t>En cualquier caso, hemos considerado fundamental realizar algunas estimaciones que nos permiten ver de una manera menos confusa el impacto que la crisis económica de 2008 ha tenido sobre la distribución social de la infelicidad en España. Para ello hemos invertido la escala de felicidad que venimos utilizando</w:t>
      </w:r>
      <w:r w:rsidRPr="005D529F">
        <w:rPr>
          <w:rStyle w:val="Refdenotaalpie"/>
          <w:rFonts w:cs="Times New Roman"/>
        </w:rPr>
        <w:footnoteReference w:id="8"/>
      </w:r>
      <w:r w:rsidRPr="005D529F">
        <w:rPr>
          <w:rFonts w:cs="Times New Roman"/>
        </w:rPr>
        <w:t>, tal y como se expuso en el capítulo 4, y hemos calculado qué porcentaje de la Cantidad Total de Infelicidad (CTIF) existente en España y en Europa, tanto en 2006 como en 2012,  le corresponde a cada uno de los cuatro estratos de población establecidos según su grado de satisfacción con los ingresos del hogar. La Tabla 7.9 contiene los resultados, y allí constatamos cómo y cuánto ha variado la distribución de la infelicidad es España. En 2006, el 20,7% de la cantidad total de infelicidad existente en España formaba parte de la estructura afectiva de las personas cuyas familias tenían dificultades o muchas dificultades financieras.  Pasados seis años, en 2012, estas mismas personas acumulaban el 35,6% de la cantidad total de la infelicidad existente en el país. Es decir, una parte substancial de la infelicidad existente en España se desplaza y se concentra en las personas que están experimentando dificultades financieras debido a los efectos de la crisis económica de 2008. El detalle de los datos de la Tabla 7.9 aporta algunos otros matices interesantes, aunque en este momento solo comentaremos la gran diferencia que existe, al respecto, cuando comparamos los datos españoles y europeos. En Europa el cambio en la distribución social de la infelicidad no es tan pronunciado, el porcentaje de la cantidad total de infelicidad que correspondía a las personas con dificultades financieras en la familia, que era en 2006 del 25,5%, asciende tan solo ligeramente hasta el 29,0% en 2012.</w:t>
      </w:r>
    </w:p>
    <w:p w14:paraId="4D2744E4" w14:textId="77777777" w:rsidR="0000205E" w:rsidRDefault="0050270B" w:rsidP="005D529F">
      <w:pPr>
        <w:rPr>
          <w:rFonts w:cs="Times New Roman"/>
        </w:rPr>
      </w:pPr>
      <w:r w:rsidRPr="005D529F">
        <w:rPr>
          <w:rFonts w:cs="Times New Roman"/>
        </w:rPr>
        <w:t xml:space="preserve">Por último, para completar el panorama del impacto emocional que la crisis económica ha tenido en España, presentamos ahora dos bloques informativos elaborados con el barómetro de opinión del Centro de Investigaciones Sociológicas de diciembre de 2011. En las dos tablas siguientes se ofrecen datos del bienestar emocional de los españoles, </w:t>
      </w:r>
      <w:r w:rsidRPr="005D529F">
        <w:rPr>
          <w:rFonts w:cs="Times New Roman"/>
        </w:rPr>
        <w:lastRenderedPageBreak/>
        <w:t>primero, según el grado en que la crisis ha afectado a su situación económica personal y, segundo, según haya afectado al nivel de empleo y de consumo del hogar. Como ya comentamos en el capitulo tercero, en el cuestionario de este estudio, dedicado a la crisis económica en España, se incluyó  una batería de preguntas sobre estados emocionales con el objeto de validar y estimar puntuaciones del IBSE.</w:t>
      </w:r>
    </w:p>
    <w:p w14:paraId="42CFCA4F" w14:textId="77777777" w:rsidR="0000205E" w:rsidRDefault="0050270B" w:rsidP="005D529F">
      <w:pPr>
        <w:rPr>
          <w:rFonts w:cs="Times New Roman"/>
        </w:rPr>
      </w:pPr>
      <w:r w:rsidRPr="005D529F">
        <w:rPr>
          <w:rFonts w:cs="Times New Roman"/>
        </w:rPr>
        <w:t xml:space="preserve">En la columna “total” de la Tabla 7.10 se ofrecen los valores del IBSE según la intensidad, indicada por los propios entrevistados en una escala de 0 a 10, con que la crisis les ha afectado a su situación económica personal. La información de la columna “total” demuestra, de nuevo, que la fuerza con la que la crisis económica golpea a una persona está relaciona con su bienestar emocional. Quienes apenas han sido afectados por la crisis tienen un nivel de felicidad de 17,4 puntos en la escala IBSE. Pero la felicidad de los españoles que han sido muy afectados por la crisis económica es de </w:t>
      </w:r>
      <w:r w:rsidRPr="005D529F">
        <w:rPr>
          <w:rFonts w:cs="Times New Roman"/>
        </w:rPr>
        <w:noBreakHyphen/>
        <w:t>21,2 puntos, es decir, que con respecto a los privilegiados que no han sentido la crisis su bienestar emocional desciende casi cuarenta puntos (38,6).</w:t>
      </w:r>
    </w:p>
    <w:p w14:paraId="32EDEDDF" w14:textId="546EEBFB" w:rsidR="0000205E" w:rsidRDefault="00E32255" w:rsidP="005D529F">
      <w:pPr>
        <w:rPr>
          <w:rFonts w:cs="Times New Roman"/>
        </w:rPr>
      </w:pPr>
      <w:r w:rsidRPr="005D529F">
        <w:rPr>
          <w:noProof/>
          <w:lang w:val="es-ES"/>
        </w:rPr>
        <w:drawing>
          <wp:anchor distT="0" distB="0" distL="114300" distR="114300" simplePos="0" relativeHeight="251704320" behindDoc="0" locked="0" layoutInCell="1" allowOverlap="1" wp14:anchorId="4BE50114" wp14:editId="5CCE3FCC">
            <wp:simplePos x="0" y="0"/>
            <wp:positionH relativeFrom="column">
              <wp:posOffset>-635</wp:posOffset>
            </wp:positionH>
            <wp:positionV relativeFrom="paragraph">
              <wp:posOffset>1143000</wp:posOffset>
            </wp:positionV>
            <wp:extent cx="2747645" cy="2997200"/>
            <wp:effectExtent l="0" t="0" r="0"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7.10.pdf"/>
                    <pic:cNvPicPr/>
                  </pic:nvPicPr>
                  <pic:blipFill rotWithShape="1">
                    <a:blip r:embed="rId56">
                      <a:extLst>
                        <a:ext uri="{28A0092B-C50C-407E-A947-70E740481C1C}">
                          <a14:useLocalDpi xmlns:a14="http://schemas.microsoft.com/office/drawing/2010/main" val="0"/>
                        </a:ext>
                      </a:extLst>
                    </a:blip>
                    <a:srcRect l="13350" t="32057" r="49128" b="39024"/>
                    <a:stretch/>
                  </pic:blipFill>
                  <pic:spPr bwMode="auto">
                    <a:xfrm>
                      <a:off x="0" y="0"/>
                      <a:ext cx="2747645" cy="29972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0270B" w:rsidRPr="005D529F">
        <w:rPr>
          <w:rFonts w:cs="Times New Roman"/>
        </w:rPr>
        <w:t>Pero la Tabla 7.10, en las dos columnas de la derecha, también incluye los niveles de bienestar emocional (IBSE) según sea buena o mala la situación económica personal del entrevistado, y según el grado en que le haya afectado la crisis de 2008 a su situación económica personal. De esta manera, comprobamos que entre los españoles que gozan de una “muy buena” o “buena” situación económica personal, la distancia de bienestar emocional entre aquellos que apenas les ha afectado la crisis (26,1), y aquellos que les ha afectado mucho (15,1), es de tan solo 11 puntos en la escala IBSE. Sin embargo, entre los españoles que tienen una “mala” o “muy mala” situación económica personal, la distancia de bienestar emocional entre aquellos que apenas les ha afectado la crisis (</w:t>
      </w:r>
      <w:r w:rsidR="0050270B" w:rsidRPr="005D529F">
        <w:rPr>
          <w:rFonts w:cs="Times New Roman"/>
        </w:rPr>
        <w:noBreakHyphen/>
        <w:t>18,6), y aquellos que les ha afectado mucho (</w:t>
      </w:r>
      <w:r w:rsidR="0050270B" w:rsidRPr="005D529F">
        <w:rPr>
          <w:rFonts w:cs="Times New Roman"/>
        </w:rPr>
        <w:noBreakHyphen/>
        <w:t xml:space="preserve">37,4), es bastante más grande, casi el doble, pues alcanza los 18,8 puntos en la escala IBSE. Queda claramente demostrado así que los efectos económicos de la crisis de 2008 están teniendo un impacto emocional mucho mayor para los pobres que para los ricos. Un español con muy buena o buena situación económica personal, aun cuando le haya afectado mucho la crisis, mantiene un nivel de felicidad por encima de la media de la población (15,1). Sin embargo, un español con mala o muy mala situación económica personal, al que le haya afectado mucho la crisis, cae a unos niveles de bienestar emocional de insatisfacción con la vida o de pura infelicidad (-37,4). En suma, mientras que la crisis económica perjudica a unos disminuyendo algo su bienestar emocional, condena a otros excluyéndoles de la </w:t>
      </w:r>
      <w:r w:rsidR="0050270B" w:rsidRPr="005D529F">
        <w:rPr>
          <w:rFonts w:cs="Times New Roman"/>
        </w:rPr>
        <w:lastRenderedPageBreak/>
        <w:t>felicidad. Todos tienen el mismo derecho a la queja, pero unos, sin duda, sufren bastante más que otros.</w:t>
      </w:r>
    </w:p>
    <w:p w14:paraId="4FA01418" w14:textId="3B72C53C" w:rsidR="0000205E" w:rsidRDefault="00E32255" w:rsidP="005D529F">
      <w:pPr>
        <w:rPr>
          <w:rFonts w:cs="Times New Roman"/>
        </w:rPr>
      </w:pPr>
      <w:r w:rsidRPr="005D529F">
        <w:rPr>
          <w:noProof/>
          <w:lang w:val="es-ES"/>
        </w:rPr>
        <w:drawing>
          <wp:anchor distT="0" distB="0" distL="114300" distR="114300" simplePos="0" relativeHeight="251705344" behindDoc="0" locked="0" layoutInCell="1" allowOverlap="1" wp14:anchorId="3311CA48" wp14:editId="06C0AA82">
            <wp:simplePos x="0" y="0"/>
            <wp:positionH relativeFrom="column">
              <wp:posOffset>0</wp:posOffset>
            </wp:positionH>
            <wp:positionV relativeFrom="paragraph">
              <wp:posOffset>1041400</wp:posOffset>
            </wp:positionV>
            <wp:extent cx="2286000" cy="3411855"/>
            <wp:effectExtent l="0" t="0" r="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7.11.pdf"/>
                    <pic:cNvPicPr/>
                  </pic:nvPicPr>
                  <pic:blipFill rotWithShape="1">
                    <a:blip r:embed="rId57">
                      <a:extLst>
                        <a:ext uri="{28A0092B-C50C-407E-A947-70E740481C1C}">
                          <a14:useLocalDpi xmlns:a14="http://schemas.microsoft.com/office/drawing/2010/main" val="0"/>
                        </a:ext>
                      </a:extLst>
                    </a:blip>
                    <a:srcRect l="13349" t="10371" r="49742" b="50695"/>
                    <a:stretch/>
                  </pic:blipFill>
                  <pic:spPr bwMode="auto">
                    <a:xfrm>
                      <a:off x="0" y="0"/>
                      <a:ext cx="2286000" cy="34118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0270B" w:rsidRPr="005D529F">
        <w:rPr>
          <w:rFonts w:cs="Times New Roman"/>
        </w:rPr>
        <w:t xml:space="preserve">El barómetro del CIS también preguntaba sobre las consecuencias que la crisis económica había tenido en el hogar del entrevistado, bien sobre la situación o condiciones laborales de alguno de sus miembros, bien sobre la reducción de gastos en algunos ámbito de consumo. La Tabla 7.11 muestra puntuaciones IBSE de los españoles según cuales sean, a este respecto, sus circunstancias familiares. Los datos muestran que la afectación en cada uno de los ámbitos está asociado a un diferente nivel de bienestar emocional, y que la intensidad de las variaciones podría explicarse en función de su importancia vital. Así, en el ámbito del empleo, apenas se aprecian diferencias de felicidad debidas a congelaciones de salario. Aparece una diferencia moderada cuando al menos algún miembro de la familia ha sufrido un recorte salarial. Sin embargo, el hecho de que algún miembro haya sufrido la pérdida del empleo deja ya una profunda huella en la estructura afectiva de la familia. En este caso, el grado de felicidad pasa de 7,2 a </w:t>
      </w:r>
      <w:r w:rsidR="0050270B" w:rsidRPr="005D529F">
        <w:rPr>
          <w:rFonts w:cs="Times New Roman"/>
        </w:rPr>
        <w:noBreakHyphen/>
        <w:t xml:space="preserve">7,3, es decir, experimenta un descenso de 14,5 puntos en la escala IBSE. En el orden del consumo la importancia vital de cada aspecto también condiciona la profundidad de la huella que la reducción de gastos imprime en la felicidad de la gente. Así, el bienestar emocional de los españoles que, por efecto de la crisis económica, se ven forzados a reducir gastos en alimentación, no solo es bastante bajo, sino que desciende 24,3 puntos del IBSE con respecto al de aquellas personas en cuyas familias no han tenido que reducir gastos en este componente del consumo tan básico y elemental. En la tabla puede comprobarse que toda reducción de consumo, incluida la reducción de vacaciones, tiene sobre las personas un claro impacto sobre su felicidad. </w:t>
      </w:r>
    </w:p>
    <w:p w14:paraId="08A759F1" w14:textId="6CCB559B" w:rsidR="0050270B" w:rsidRDefault="0050270B" w:rsidP="005D529F">
      <w:pPr>
        <w:rPr>
          <w:rFonts w:cs="Times New Roman"/>
        </w:rPr>
      </w:pPr>
      <w:r w:rsidRPr="005D529F">
        <w:rPr>
          <w:rFonts w:cs="Times New Roman"/>
        </w:rPr>
        <w:t xml:space="preserve">Pese a que los datos no nos permitan ofrecer mayor precisión, estamos convencidos de que cuando las personas caen por debajo de los umbrales de pobreza absoluta, y ya ni siquiera pueden permitirse el consumo de los bienes y servicios imprescindibles para satisfacer las necesidades más esenciales, su bienestar emocional se desploma, quedando radicalmente excluidos de la felicidad. Los datos presentados demuestran, usando las mismas palabras que el Rey Felipe VI pronunció el día de su coronación, que “el rigor de la crisis económica ha golpeado duramente a algunos ciudadanos hasta verse heridos en su dignidad como personas” (Felipe VI, 2014). Sabemos que la pobreza trae mucha desgracia e infelicidad, así que la crisis económica debería despertar en todos, y en todas </w:t>
      </w:r>
      <w:r w:rsidRPr="005D529F">
        <w:rPr>
          <w:rFonts w:cs="Times New Roman"/>
        </w:rPr>
        <w:lastRenderedPageBreak/>
        <w:t>las instituciones públicas y privadas de la sociedad, al menos tanta solidaridad como malestar emocional crea.</w:t>
      </w:r>
    </w:p>
    <w:p w14:paraId="5735D538" w14:textId="77777777" w:rsidR="009A7FF9" w:rsidRDefault="009A7FF9" w:rsidP="005D529F">
      <w:pPr>
        <w:rPr>
          <w:rFonts w:cs="Times New Roman"/>
        </w:rPr>
      </w:pPr>
    </w:p>
    <w:p w14:paraId="65A6FF38" w14:textId="77777777" w:rsidR="009A7FF9" w:rsidRDefault="009A7FF9" w:rsidP="005D529F">
      <w:pPr>
        <w:rPr>
          <w:rFonts w:cs="Times New Roman"/>
        </w:rPr>
        <w:sectPr w:rsidR="009A7FF9" w:rsidSect="00B12022">
          <w:headerReference w:type="default" r:id="rId58"/>
          <w:pgSz w:w="11900" w:h="16840"/>
          <w:pgMar w:top="2041" w:right="1814" w:bottom="1758" w:left="1814" w:header="709" w:footer="709" w:gutter="0"/>
          <w:pgNumType w:start="99"/>
          <w:cols w:space="708"/>
          <w:titlePg/>
          <w:docGrid w:linePitch="360"/>
        </w:sectPr>
      </w:pPr>
    </w:p>
    <w:p w14:paraId="76C93030" w14:textId="77777777" w:rsidR="0000205E" w:rsidRDefault="008D6A09" w:rsidP="009A7FF9">
      <w:pPr>
        <w:pStyle w:val="Ttulo1"/>
      </w:pPr>
      <w:bookmarkStart w:id="111" w:name="_Toc311991823"/>
      <w:bookmarkStart w:id="112" w:name="_Toc311993052"/>
      <w:bookmarkStart w:id="113" w:name="_Toc311998420"/>
      <w:r w:rsidRPr="005D529F">
        <w:lastRenderedPageBreak/>
        <w:t xml:space="preserve">8  La desigualdad emocional de género y de </w:t>
      </w:r>
      <w:r w:rsidR="00483F07" w:rsidRPr="005D529F">
        <w:t>edad</w:t>
      </w:r>
      <w:bookmarkEnd w:id="111"/>
      <w:bookmarkEnd w:id="112"/>
      <w:bookmarkEnd w:id="113"/>
    </w:p>
    <w:p w14:paraId="21319332" w14:textId="77777777" w:rsidR="0000205E" w:rsidRDefault="008D6A09" w:rsidP="009A7FF9">
      <w:pPr>
        <w:pStyle w:val="Ttulo2"/>
      </w:pPr>
      <w:bookmarkStart w:id="114" w:name="_Toc311991824"/>
      <w:bookmarkStart w:id="115" w:name="_Toc311993053"/>
      <w:r w:rsidRPr="005D529F">
        <w:t>8.1</w:t>
      </w:r>
      <w:r w:rsidR="00483F07" w:rsidRPr="005D529F">
        <w:t xml:space="preserve">  El género y la edad</w:t>
      </w:r>
      <w:bookmarkEnd w:id="114"/>
      <w:bookmarkEnd w:id="115"/>
    </w:p>
    <w:p w14:paraId="4C6D581E" w14:textId="77777777" w:rsidR="0000205E" w:rsidRDefault="008D6A09" w:rsidP="005D529F">
      <w:pPr>
        <w:rPr>
          <w:rFonts w:cs="Times New Roman"/>
        </w:rPr>
      </w:pPr>
      <w:r w:rsidRPr="005D529F">
        <w:rPr>
          <w:rFonts w:cs="Times New Roman"/>
        </w:rPr>
        <w:t>A lo largo de la historia casi todos los grupos y comunidades humanas han utilizado el género y la edad como elementos básicos de su estructura social. Además, en todos los grupos y comunidades tradicionales el género y la edad han constituido al mismo tiempo criterios clave de su estratificación social (Littlejohn, 1975). Nuestras sociedades modernas y desarrolladas niegan de raíz, explícitamente y por principio, la posibilidad de que el género y la edad ordenen la estructura social. Y, por supuesto, niegan aún más radicalmente la posibilidad de que ambas características, o cualesquiera otras, configuren criterios legítimos de estratificación social. Ahora bien, este rechazo normativo y ético al hecho de que el género o la edad sustenten desigualdades sociales en absoluto significa que, de facto, tales desigualdades no existan. Incluso en las sociedades europeas más avanzadas e igualitarias puede constatarse con suma facilidad la persistencia de las muy diversas formas, manifiestas o latentes, en las que se manifiesta la desigualdad de género. Con respecto a la edad, es obvio que nuestras sociedades presentan una clara estructuración social de las edades que podríamos sintetizar mediante la imagen de los tres tercios: los jóvenes, con menos de treinta años; los maduros, con edades que oscilan entre los treinta y los sesenta; y los mayores o personas de sesenta años o más. Una buena parte de los problemas políticos que en la actualidad están afrontando muchos países europeos, entre ellos España, deriva de la necesaria reestructuración social que han de acometer para configurar una óptima distribución social de las funciones y del sentido que corresponda a cado uno de estos tres grandes periodos del ciclo vital. Estos tres períodos configuran la biografía de las personas, que en la actualidad se extiende a lo largo de noventa años.</w:t>
      </w:r>
    </w:p>
    <w:p w14:paraId="66330185" w14:textId="77777777" w:rsidR="0000205E" w:rsidRDefault="008D6A09" w:rsidP="005D529F">
      <w:pPr>
        <w:rPr>
          <w:rFonts w:cs="Times New Roman"/>
        </w:rPr>
      </w:pPr>
      <w:r w:rsidRPr="005D529F">
        <w:rPr>
          <w:rFonts w:cs="Times New Roman"/>
        </w:rPr>
        <w:t>Más allá de la múltiples desigualdades económicas, laborales, políticas, educativas o culturales vinculadas al género o a la edad, el principal objetivo de este capítulo es comprobar si entre los hombres y las mujeres, o si entre los jóvenes, los maduros y los mayores, también existen desigualdades emocionales. Es decir, queremos desarrollar un análisis de la estratificación social existente en España, según género y edad, del bienestar y del malestar emocional, esto es, del sufrimiento y de la felicidad.  Es obvio que no todas las diferencias que encontremos en esta primera exploración podrán ser atribuidas exclusivamente a causas sociales. En este sentido, será preciso tener en cuenta que la naturaleza tanto del género como de la edad está íntimamente configurada por la conjunción de tres tipos de factores: orgánicos, personales y sociales. Por tanto, la biología, la psicología y la sociología serán las disciplinas imprescindibles para lograr una mínima comprensión y  esclarecimiento de la cuestión que nos ocupa.</w:t>
      </w:r>
    </w:p>
    <w:p w14:paraId="7DE3829B" w14:textId="77777777" w:rsidR="0000205E" w:rsidRDefault="008D6A09" w:rsidP="005D529F">
      <w:pPr>
        <w:rPr>
          <w:rFonts w:cs="Times New Roman"/>
        </w:rPr>
      </w:pPr>
      <w:r w:rsidRPr="005D529F">
        <w:rPr>
          <w:rFonts w:cs="Times New Roman"/>
        </w:rPr>
        <w:lastRenderedPageBreak/>
        <w:t>La mayor parte de los índices e indicadores sociales nos muestran que, pese a los indudables avances registrados en la igualdad entre hombres y mujeres en las sociedades europeas, la desigualdad de género persiste como un rasgo básico de la estructura social general (Bericat, 2012) (EIGE, 2013) (Bericat y Sánchez, 2015). De hecho, la igualdad de género no avanza simultáneamente, con idéntico ritmo, en todos los campos. Así, en el ámbito de la formación los datos demuestran que los logros educativos de las mujeres ya superan al de los hombres. De otra parte, aunque puede afirmarse que en el ámbito laboral se han registrado importantes avances hacia la igualdad, el nivel de participación de la mujer en el mercado de trabajo sigue siendo inferior al de los hombres, y las condiciones en las que desempeñan sus empleos las mujeres siguen siendo peores que las de los hombres. Por último, la desigualdad de género en el ámbito del poder, en cualquiera de los niveles jerárquicos en los que se toman decisiones, sigue siendo muy elevada. En este ámbito apenas se registran avances significativos, y los techos de cristal operan como pesadas losas que impiden a las mujeres acceder a los puestos de responsabilidad que les corresponden en función de sus propios méritos.</w:t>
      </w:r>
    </w:p>
    <w:p w14:paraId="247AD799" w14:textId="77777777" w:rsidR="0000205E" w:rsidRDefault="008D6A09" w:rsidP="005D529F">
      <w:pPr>
        <w:rPr>
          <w:rFonts w:cs="Times New Roman"/>
        </w:rPr>
      </w:pPr>
      <w:r w:rsidRPr="005D529F">
        <w:rPr>
          <w:rFonts w:cs="Times New Roman"/>
        </w:rPr>
        <w:t>En suma, en las sociedades europeas, y particularmente en España, los datos empíricos demuestran la persistencia de un amplio grado de desigualdad de género. Estos datos también confirman que, en la actualidad, los principales mecanismos mediante los que se discrimina a la mujeres siguen plenamente vigentes (Bericat y Sánchez, 2015). Siendo esto así, parece razonable suponer que tanto las desigualdad como la discriminación dejarán su huella en el corazón de los hombres y en el de las mujeres, es decir, que las mujeres, por el hecho de seguir ocupando posiciones sociales más bajas que los hombres, disfrutarán de un menor grado de bienestar emocional que ellos. Así, algunos análisis comparativos internacionales han probado que las diferencias entre el bienestar subjetivo de hombres y mujeres varían tanto con el grado de desigualdad de género existente en el país, sobre todo con respecto a los niveles de educación e ingresos, como con el grado de adscripción que mantenga la población general a los valores sociales de igualdad de género (Tesch-Römer et al., 2008).</w:t>
      </w:r>
    </w:p>
    <w:p w14:paraId="4488343B" w14:textId="290D4D55" w:rsidR="008D6A09" w:rsidRPr="005D529F" w:rsidRDefault="008D6A09" w:rsidP="005D529F">
      <w:pPr>
        <w:rPr>
          <w:rFonts w:cs="Times New Roman"/>
        </w:rPr>
      </w:pPr>
      <w:r w:rsidRPr="005D529F">
        <w:rPr>
          <w:noProof/>
          <w:lang w:val="es-ES"/>
        </w:rPr>
        <w:drawing>
          <wp:anchor distT="0" distB="0" distL="114300" distR="114300" simplePos="0" relativeHeight="251710464" behindDoc="0" locked="0" layoutInCell="1" allowOverlap="1" wp14:anchorId="431BA311" wp14:editId="311311CA">
            <wp:simplePos x="0" y="0"/>
            <wp:positionH relativeFrom="column">
              <wp:posOffset>0</wp:posOffset>
            </wp:positionH>
            <wp:positionV relativeFrom="paragraph">
              <wp:posOffset>177800</wp:posOffset>
            </wp:positionV>
            <wp:extent cx="1600200" cy="2418715"/>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8.1.pdf"/>
                    <pic:cNvPicPr/>
                  </pic:nvPicPr>
                  <pic:blipFill rotWithShape="1">
                    <a:blip r:embed="rId59">
                      <a:extLst>
                        <a:ext uri="{28A0092B-C50C-407E-A947-70E740481C1C}">
                          <a14:useLocalDpi xmlns:a14="http://schemas.microsoft.com/office/drawing/2010/main" val="0"/>
                        </a:ext>
                      </a:extLst>
                    </a:blip>
                    <a:srcRect l="13344" t="-474" r="59904" b="71897"/>
                    <a:stretch/>
                  </pic:blipFill>
                  <pic:spPr bwMode="auto">
                    <a:xfrm>
                      <a:off x="0" y="0"/>
                      <a:ext cx="1600200" cy="24187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D529F">
        <w:rPr>
          <w:rFonts w:cs="Times New Roman"/>
        </w:rPr>
        <w:t xml:space="preserve">En efecto, tal y como puede comprobarse en la Tabla 8.1, nuestro análisis también prueba que el grado de bienestar emocional de los hombres, tanto en España como en Europa, y tanto en 2006 como en 2012, es mayor que el de las mujeres. En el año 2006, la desigualdad emocional de género, esto es, la diferencia entre el grado de felicidad de los hombres y las mujeres, era equivalente en España a 13,4 puntos del IBSE, y en Europa a 12,4 puntos. En nuestro país, la brecha emocional de género incluso se amplía en 2012, llegando hasta los 17,0 puntos, mientras que en Europa prácticamente se mantiene estable, subiendo un poco hasta los 13,1 puntos. Estas estimaciones del grado de felicidad de hombres y de mujeres, realizadas aplicando el Índice de Bienestar Socioemocional (IBSE), son muy </w:t>
      </w:r>
      <w:r w:rsidRPr="005D529F">
        <w:rPr>
          <w:rFonts w:cs="Times New Roman"/>
        </w:rPr>
        <w:lastRenderedPageBreak/>
        <w:t>importantes porque, en general, la investigación precedente sobre el bienestar subjetivo de hombres y mujeres solía concluir que la satisfacción con la vida, o la felicidad de ambos, medidas con escalas univariables, eran similares.</w:t>
      </w:r>
    </w:p>
    <w:p w14:paraId="014AA3A6" w14:textId="77777777" w:rsidR="0000205E" w:rsidRDefault="008D6A09" w:rsidP="005D529F">
      <w:pPr>
        <w:rPr>
          <w:rFonts w:cs="Times New Roman"/>
        </w:rPr>
      </w:pPr>
      <w:r w:rsidRPr="005D529F">
        <w:rPr>
          <w:rFonts w:cs="Times New Roman"/>
        </w:rPr>
        <w:t xml:space="preserve">Nuestra estimaciones no solo muestran que el bienestar emocional de las mujeres es inferior, sino también diferente. Las mujeres suelen experimentar más emociones positivas que los hombres, pero también más emociones negativas (Brody, 1999). De hecho, analizando las cuatro dimensiones que componen el IBSE (tomando como base la muestra 2006+2012 de Europa-27), se observa que el valor de la dimensión de “situación”, compuesta por los estados emocionales de felicidad y de disfrute en la vida, es bastante parecido en hombres y mujeres (3,0 y 1,1, respectivamente). Sin embargo, existe una gran diferencia en la dimensión de “estatus” (9,3 y </w:t>
      </w:r>
      <w:r w:rsidRPr="005D529F">
        <w:rPr>
          <w:rFonts w:cs="Times New Roman"/>
        </w:rPr>
        <w:noBreakHyphen/>
        <w:t xml:space="preserve">14,2, respectivamente), lo que demuestra que, por lo general, las mujeres se sienten más tristes, solas y deprimidas. En la dimensión de “persona” (9,2 y </w:t>
      </w:r>
      <w:r w:rsidRPr="005D529F">
        <w:rPr>
          <w:rFonts w:cs="Times New Roman"/>
        </w:rPr>
        <w:noBreakHyphen/>
        <w:t xml:space="preserve">3,3, respectivamente), y en la dimensión de “poder” (11,7 y </w:t>
      </w:r>
      <w:r w:rsidRPr="005D529F">
        <w:rPr>
          <w:rFonts w:cs="Times New Roman"/>
        </w:rPr>
        <w:noBreakHyphen/>
        <w:t>1,7), también existe una evidente diferencia emocional de género a favor de los hombres. En suma, constatamos que, en paralelo a la desigualdad de género que todavía experimentan las mujeres, el nivel medio de su bienestar emocional es inferior al de los hombres. Ahora bien, una vez demostrada la desigualdad emocional de género que tanto en España como en Europa sufren las mujeres, en posteriores análisis trataremos de verificar la existencia de otras asimetrías emocionales de género, más específicas, en las que se pongan de manifiesto algunas lógicas, mecanismos y procesos de discriminación social.</w:t>
      </w:r>
    </w:p>
    <w:p w14:paraId="459457D7" w14:textId="77777777" w:rsidR="0000205E" w:rsidRDefault="008D6A09" w:rsidP="005D529F">
      <w:pPr>
        <w:rPr>
          <w:rFonts w:cs="Times New Roman"/>
        </w:rPr>
      </w:pPr>
      <w:r w:rsidRPr="005D529F">
        <w:rPr>
          <w:rFonts w:cs="Times New Roman"/>
        </w:rPr>
        <w:t>Con respecto al bienestar emocional de las diferentes edades, la investigación empírica realizada hasta ahora muestra que el efecto neto de la edad sobre el bienestar subjetivo tiene forma de una “U”. Esto significa que el impacto (medido mediante las escalas univariables de felicidad o de satisfacción) tanto de la “edad joven” como de la “edad mayor” es positivo, elevando en ambos casos el nivel de felicidad o de satisfacción. Por el contrario, el efecto neto de la edad en los años intermedios del ciclo vital, es decir, en la “edad madura”, está asociado con un menor nivel de bienestar subjetivo (Lelkes, 2008).</w:t>
      </w:r>
    </w:p>
    <w:p w14:paraId="38EACB92" w14:textId="77777777" w:rsidR="0000205E" w:rsidRDefault="008D6A09" w:rsidP="005D529F">
      <w:pPr>
        <w:rPr>
          <w:rFonts w:cs="Times New Roman"/>
        </w:rPr>
      </w:pPr>
      <w:r w:rsidRPr="005D529F">
        <w:rPr>
          <w:rFonts w:cs="Times New Roman"/>
        </w:rPr>
        <w:t xml:space="preserve">Para el cálculo del efecto neto de la edad, los modelos multivariantes deben controlar los efectos que tengan otras variables, como por ejemplo el estado de salud, el nivel económico, la participación social, el estado civil, etc., sobre el bienestar subjetivo. Los jóvenes, los maduros y los mayores no solo se distinguen por tener una edad diferente, sino también por otros muchos rasgos que condicionan su bienestar emocional. Así, es obvio que el grado de felicidad de las personas mayores estará condicionado por su presumiblemente distinto estado de salud; el de los jóvenes, por la fortaleza personal, sea física o psicológica, que caracteriza a la juventud; o el de las edades medias, por el gran número de responsabilidades y cargas de actividad que se asumen generalmente  durante este período del ciclo vital. Ahora bien, siguiendo el leit motiv de este trabajo, cuyo objeto es conocer quiénes disfrutan de la vida y quiénes, muy al contrario, están excluidos de la felicidad, lo determinante es saber en qué medida son felices las personas jóvenes, las </w:t>
      </w:r>
      <w:r w:rsidRPr="005D529F">
        <w:rPr>
          <w:rFonts w:cs="Times New Roman"/>
        </w:rPr>
        <w:lastRenderedPageBreak/>
        <w:t>maduras y las mayores, y no tanto calcular cual pueda ser el efecto neto de la variable edad.</w:t>
      </w:r>
    </w:p>
    <w:p w14:paraId="1CE82FAB" w14:textId="77777777" w:rsidR="0000205E" w:rsidRDefault="008D6A09" w:rsidP="005D529F">
      <w:pPr>
        <w:rPr>
          <w:rFonts w:cs="Times New Roman"/>
        </w:rPr>
      </w:pPr>
      <w:r w:rsidRPr="005D529F">
        <w:rPr>
          <w:rFonts w:cs="Times New Roman"/>
          <w:noProof/>
          <w:lang w:val="es-ES"/>
        </w:rPr>
        <w:drawing>
          <wp:anchor distT="0" distB="0" distL="114300" distR="114300" simplePos="0" relativeHeight="251707392" behindDoc="0" locked="0" layoutInCell="1" allowOverlap="1" wp14:anchorId="6ECEF8D8" wp14:editId="3FB1B7AC">
            <wp:simplePos x="0" y="0"/>
            <wp:positionH relativeFrom="column">
              <wp:posOffset>0</wp:posOffset>
            </wp:positionH>
            <wp:positionV relativeFrom="paragraph">
              <wp:posOffset>88900</wp:posOffset>
            </wp:positionV>
            <wp:extent cx="3124200" cy="3771900"/>
            <wp:effectExtent l="0" t="0" r="0" b="1270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 Edad europa-27 2006+2012.pdf"/>
                    <pic:cNvPicPr/>
                  </pic:nvPicPr>
                  <pic:blipFill rotWithShape="1">
                    <a:blip r:embed="rId60">
                      <a:extLst>
                        <a:ext uri="{28A0092B-C50C-407E-A947-70E740481C1C}">
                          <a14:useLocalDpi xmlns:a14="http://schemas.microsoft.com/office/drawing/2010/main" val="0"/>
                        </a:ext>
                      </a:extLst>
                    </a:blip>
                    <a:srcRect l="11340" t="9274" r="20424" b="27076"/>
                    <a:stretch/>
                  </pic:blipFill>
                  <pic:spPr bwMode="auto">
                    <a:xfrm>
                      <a:off x="0" y="0"/>
                      <a:ext cx="3124200" cy="37719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D529F">
        <w:rPr>
          <w:rFonts w:cs="Times New Roman"/>
        </w:rPr>
        <w:t>El Gráfico 8.1 aporta una imagen suficientemente precisa del grado de bienestar emocional del que disfrutan las personas concretas, de carne y hueso, cuando son jóvenes, maduros  o mayores. Con el objeto de ofrecer los datos más robustos, válidos y fiables, se ha confeccionado el gráfico con la muestra 2006+2012 de Europa-27. Según las estimaciones del IBSE, puede verse en el gráfico que los jóvenes tienen los niveles más altos de bienestar emocional; las personas mayores, los más bajos; y las personas maduras, con algunos altibajos, niveles intermedios de bienestar emocional. Los datos muestran una pauta de progresiva disminución de la felicidad conforme avanza la edad. De hecho, casi podría trazarse un línea recta desde el nivel de bienestar emocional de los 15-19 años, hasta el nivel de los 90 años y más.</w:t>
      </w:r>
    </w:p>
    <w:p w14:paraId="5AA61C1C" w14:textId="77777777" w:rsidR="0000205E" w:rsidRDefault="008D6A09" w:rsidP="005D529F">
      <w:pPr>
        <w:rPr>
          <w:rFonts w:cs="Times New Roman"/>
        </w:rPr>
      </w:pPr>
      <w:r w:rsidRPr="005D529F">
        <w:rPr>
          <w:rFonts w:cs="Times New Roman"/>
        </w:rPr>
        <w:t>Ahora bien, el Gráfico 8.1 nos muestra también algunas pautas específicas muy interesantes que merecen algún comentario. El nivel de bienestar emocional de los jóvenes va disminuyendo progresivamente conforme van incrementando su edad, pero se mantiene en niveles positivos, es decir, por encima de la media, hasta los 45 años. A partir de los 45, se observa un brusco descenso en los niveles de felicidad, que llegan a ser negativos entre los 50 y los 60 años. Este descenso podría interpretarse como la crisis emocional de la edad madura que, en nuestras sociedades desarrolladas, con una esperanza de vida mucho mayor, se habría desplazado desde los 40 a los cincuenta años. Es decir, la crisis de madurez habría pasado de ser una “crisis de los cuarenta”, a ser la “crisis de los cincuenta”. Al parecer, según los datos del gráfico, en los años previos a la edad de jubilación, que coincide con la cohorte quinquenal que va desde los 60 a los 65 años, la felicidad experimenta un ligero repunte. Sin embargo, también al parecer, pues estudios mucho más detallados serían imprescindibles para confirmar estas hipótesis, la felicidad vuelve a caer ligeramente, aunque manteniendo niveles muy próximos a la media, durante los diez primeros años tras la edad de jubilación.</w:t>
      </w:r>
    </w:p>
    <w:p w14:paraId="2C15D1A4" w14:textId="77777777" w:rsidR="0000205E" w:rsidRDefault="008D6A09" w:rsidP="005D529F">
      <w:pPr>
        <w:rPr>
          <w:rFonts w:cs="Times New Roman"/>
        </w:rPr>
      </w:pPr>
      <w:r w:rsidRPr="005D529F">
        <w:rPr>
          <w:rFonts w:cs="Times New Roman"/>
        </w:rPr>
        <w:lastRenderedPageBreak/>
        <w:t>Por último, en el Gráfíco 8.1 podemos ver con toda claridad que a partir de los 75 años, y especialmente a partir de los 80, el bienestar emocional desciende a sus niveles más bajos, permaneciendo prácticamente estable durante todo este período de la vejez. Esta estabilidad, que aparece en estudios observacionales, se convierte en ligero declive cuanto se analiza el bienestar subjetivo de las personas mayores mediante estudios longitudinales (Schilling, 2006). En cualquier caso, otras investigaciones empíricas también muestran el brusco e importante descenso de bienestar subjetivo que experimentan las personas de más de ochenta años (Jivraj et al., 2013). Como demostraremos en el epígrafe correspondiente, las personas mayores que ya han entrado en la vejez constituyen uno de los grandes colectivos que, en nuestras sociedades, también están excluidos de la felicidad.</w:t>
      </w:r>
    </w:p>
    <w:p w14:paraId="2BE19D19" w14:textId="77777777" w:rsidR="0000205E" w:rsidRDefault="00483F07" w:rsidP="001F3FB5">
      <w:pPr>
        <w:pStyle w:val="Ttulo2"/>
      </w:pPr>
      <w:bookmarkStart w:id="116" w:name="_Toc311991825"/>
      <w:bookmarkStart w:id="117" w:name="_Toc311993054"/>
      <w:r w:rsidRPr="005D529F">
        <w:t xml:space="preserve">8.2 </w:t>
      </w:r>
      <w:r w:rsidR="00BB24E7" w:rsidRPr="005D529F">
        <w:t xml:space="preserve"> Mujeres y hombres</w:t>
      </w:r>
      <w:bookmarkEnd w:id="116"/>
      <w:bookmarkEnd w:id="117"/>
    </w:p>
    <w:p w14:paraId="0D537DBD" w14:textId="77777777" w:rsidR="0000205E" w:rsidRDefault="008D6A09" w:rsidP="005D529F">
      <w:pPr>
        <w:rPr>
          <w:rFonts w:cs="Times New Roman"/>
        </w:rPr>
      </w:pPr>
      <w:r w:rsidRPr="005D529F">
        <w:rPr>
          <w:rFonts w:cs="Times New Roman"/>
        </w:rPr>
        <w:t>Una vez demostrado, según vimos en la Tabla 8.1, que en nuestras sociedades también existe una desigualdad emocional entre hombres y mujeres, nos proponemos ahora mostrar algunos resultados de las indagaciones exploratorias realizadas con el objeto de descubrir la existencia de asimetrías emocionales de género, más específicas y concretas, vinculadas a diversos ámbitos de la realidad social. En concreto, ilustraremos los efectos que sobre el bienestar emocional de las mujeres tienen algunas lógicas sociales que operan en el ámbito del trabajo, en el de la convivencia en pareja, y en el de la educación.</w:t>
      </w:r>
    </w:p>
    <w:p w14:paraId="6EE6CA09" w14:textId="77777777" w:rsidR="0000205E" w:rsidRDefault="00483F07" w:rsidP="001F3FB5">
      <w:pPr>
        <w:pStyle w:val="Ttulo3"/>
      </w:pPr>
      <w:bookmarkStart w:id="118" w:name="_Toc311991826"/>
      <w:bookmarkStart w:id="119" w:name="_Toc311993055"/>
      <w:r w:rsidRPr="005D529F">
        <w:t>El t</w:t>
      </w:r>
      <w:r w:rsidR="008D6A09" w:rsidRPr="005D529F">
        <w:t>rabajo</w:t>
      </w:r>
      <w:bookmarkEnd w:id="118"/>
      <w:bookmarkEnd w:id="119"/>
    </w:p>
    <w:p w14:paraId="3C80271A" w14:textId="77777777" w:rsidR="0000205E" w:rsidRDefault="008D6A09" w:rsidP="005D529F">
      <w:pPr>
        <w:rPr>
          <w:rFonts w:cs="Times New Roman"/>
        </w:rPr>
      </w:pPr>
      <w:r w:rsidRPr="005D529F">
        <w:rPr>
          <w:rFonts w:cs="Times New Roman"/>
        </w:rPr>
        <w:t>En el ámbito laboral podemos encontrar muchas asimetrías emocionales que solamente pueden comprenderse y explicarse en el marco de una sociedad en la que persiste la desigualdad estructural de género. Por ejemplo, estimaciones del IBSE realizadas con la ESS</w:t>
      </w:r>
      <w:r w:rsidRPr="005D529F">
        <w:rPr>
          <w:rFonts w:cs="Times New Roman"/>
        </w:rPr>
        <w:noBreakHyphen/>
        <w:t xml:space="preserve">2006, muestran que el bienestar emocional de los europeos y de las europeas que trabajan (9,7 y </w:t>
      </w:r>
      <w:r w:rsidRPr="005D529F">
        <w:rPr>
          <w:rFonts w:cs="Times New Roman"/>
        </w:rPr>
        <w:noBreakHyphen/>
        <w:t>1,1, respectivamente), es más alto que el de los europeos/as que no trabajan (</w:t>
      </w:r>
      <w:r w:rsidRPr="005D529F">
        <w:rPr>
          <w:rFonts w:cs="Times New Roman"/>
        </w:rPr>
        <w:noBreakHyphen/>
        <w:t xml:space="preserve">0,4 y </w:t>
      </w:r>
      <w:r w:rsidRPr="005D529F">
        <w:rPr>
          <w:rFonts w:cs="Times New Roman"/>
        </w:rPr>
        <w:noBreakHyphen/>
        <w:t>7,8, respectivamente). Ahora bien, en este momento podríamos preguntarnos: ¿Quiénes incrementan en mayor medida su grado de felicidad por el hecho de trabajar, los hombres o las mujeres? Y la respuesta sería la siguiente: mientras que los hombres que trabajan, en comparación con los que no lo hacen, mejoran su nivel de bienestar emocional en 10,1 puntos, las mujeres que trabajan, en comparación con las que no trabajan, tan solo lo mejoran en 6,7 puntos. Dicho de otro modo, podemos concluir que el trabajo remunerado sigue siendo socioemocionalmente más importante para los hombres que para las mujeres (Bericat, 2015b). Si duda, una clara asimetría emocional de género.</w:t>
      </w:r>
    </w:p>
    <w:p w14:paraId="21EB2FF6" w14:textId="77777777" w:rsidR="0000205E" w:rsidRDefault="008D6A09" w:rsidP="005D529F">
      <w:pPr>
        <w:rPr>
          <w:rFonts w:cs="Times New Roman"/>
        </w:rPr>
      </w:pPr>
      <w:r w:rsidRPr="005D529F">
        <w:rPr>
          <w:rFonts w:cs="Times New Roman"/>
        </w:rPr>
        <w:t xml:space="preserve">Al analizar el bienestar emocional de las mujeres y de los hombres que trabajan y no trabajan, según edad, también se ponen de manifiesto algunas otras asimetrías. Por ejemplo, en el núcleo del período de vida laboral, es decir, entre los treinta y cinco y los </w:t>
      </w:r>
      <w:r w:rsidRPr="005D529F">
        <w:rPr>
          <w:rFonts w:cs="Times New Roman"/>
        </w:rPr>
        <w:lastRenderedPageBreak/>
        <w:t>cincuenta y cinco años, el bienestar emocional de los hombres que no trabajan, comparado con el de aquellos hombres que sí lo hacen, sufre un desplome realmente dramático, llegando incluso a superar los 30 puntos de diferencia en el IBSE. Ahora bien, en el caso de las mujeres, y por el hecho de trabajar o no trabajar, no se observan descensos tan mayúsculos de bienestar emocional en ninguna de las cohortes de edad. En suma, la asimetría de género existente en relación al trabajo también se manifiesta en el diferente impacto emocional que el desempleo tiene sobre las mujeres y sobre los hombres. El desplome emocional que provoca el desempleo en el IBSE de los hombres (</w:t>
      </w:r>
      <w:r w:rsidRPr="005D529F">
        <w:rPr>
          <w:rFonts w:cs="Times New Roman"/>
        </w:rPr>
        <w:noBreakHyphen/>
        <w:t>20,7), es mayor que en las mujeres (</w:t>
      </w:r>
      <w:r w:rsidRPr="005D529F">
        <w:rPr>
          <w:rFonts w:cs="Times New Roman"/>
        </w:rPr>
        <w:noBreakHyphen/>
        <w:t>15,4) (Bericat, 2015b), como así también lo prueban otras investigaciones (Dolan et. Al, 2008) (Bryson et al. 2012).</w:t>
      </w:r>
    </w:p>
    <w:p w14:paraId="304D5493" w14:textId="77777777" w:rsidR="0000205E" w:rsidRDefault="008D6A09" w:rsidP="005D529F">
      <w:pPr>
        <w:rPr>
          <w:rFonts w:cs="Times New Roman"/>
        </w:rPr>
      </w:pPr>
      <w:r w:rsidRPr="005D529F">
        <w:rPr>
          <w:rFonts w:cs="Times New Roman"/>
        </w:rPr>
        <w:t>Las diferencias observadas en la mujer también muestran una peculiar distribución según edad. Las diferencias de bienestar emocional entre las mujeres que trabajan y las que no trabajan son mínimas entre los 25 y los 44 años de edad. Es decir, en el período central de la vida, en el que las mujeres pueden asumir muy diferentes roles sociales, tanto productivos como reproductivos, la incorporación o no al mercado de trabajo tiene un menor impacto sobre su felicidad. Ahora bien, una vez que la mujer abandona el período reproductivo y de cuidados de la prole y, por tanto, se enfrenta de alguna manera al riesgo de un progresivo vaciamiento funcional de sus roles sociales, el bienestar emocional de las mujeres trabajadoras, en comparación con las que no trabajan, vuelve a incrementarse. Esto es, la mujer pasa de un período del ciclo vital en el que experimenta una sobresaturación funcional, a otro en el que su rol experimenta un vaciamiento progresivo. Por esta razón, pasado el período central de la vida, las mujeres obtienen importantes recompensas socioemocionales por el hecho de trabajar (Bericat, 2015b).</w:t>
      </w:r>
    </w:p>
    <w:p w14:paraId="53CEAE1A" w14:textId="77777777" w:rsidR="0000205E" w:rsidRDefault="008D6A09" w:rsidP="001F3FB5">
      <w:pPr>
        <w:pStyle w:val="Ttulo3"/>
      </w:pPr>
      <w:bookmarkStart w:id="120" w:name="_Toc311991827"/>
      <w:bookmarkStart w:id="121" w:name="_Toc311993056"/>
      <w:r w:rsidRPr="005D529F">
        <w:t>La convivencia en pareja</w:t>
      </w:r>
      <w:bookmarkEnd w:id="120"/>
      <w:bookmarkEnd w:id="121"/>
    </w:p>
    <w:p w14:paraId="20C57465" w14:textId="77777777" w:rsidR="0000205E" w:rsidRDefault="008D6A09" w:rsidP="005D529F">
      <w:pPr>
        <w:rPr>
          <w:rFonts w:cs="Times New Roman"/>
        </w:rPr>
      </w:pPr>
      <w:r w:rsidRPr="005D529F">
        <w:rPr>
          <w:rFonts w:cs="Times New Roman"/>
        </w:rPr>
        <w:t xml:space="preserve">La socióloga Jessie Bernard, con su libro El futuro del matrimonio, publicado en 1972, fue una de las primeras investigadoras sociales que puso al descubierto la gran asimetría de género que caracterizaba a la institución del matrimonio. Amparándose en los resultados de su estudio concluyó que no existe un matrimonio, sino dos, el de “ellos”, los hombres, y el de “ellas”, las mujeres. En la cultura popular, en principio el matrimonio aparece para el hombre como una institución y un compromiso lleno de cargas, aunque finalmente ellos acaban beneficiándose de los servicios que en su seno le son dispensados por la mujer. A la inversa, el matrimonio de la mujer se presenta como un destino deseado e idealizado, aunque en realidad, para ellas, esta institución se caracteriza por la ausencia del poder y por la obligación de prestar servicios (Camarero, 2010) (Bericat, 2014:192). Algunas investigaciones posteriores han tratado de verificar la tesis de Bernard, es decir, que el matrimonio es bueno para ellas, pero mejor para ellos. Sin embargo, la evidencia empírica disponible hasta ahora no ha arrojado unos resultados incuestionables y claros, sino más bien contradictorios (Starbuck, 2000) (Baxter y Gray, 2003). Las estimaciones del Índice de Bienestar Socioemocional (IBSE) según la situación de convivencia de hombres y mujeres, incluidas en la Tabla 8.2, pueden arrojar </w:t>
      </w:r>
      <w:r w:rsidRPr="005D529F">
        <w:rPr>
          <w:rFonts w:cs="Times New Roman"/>
        </w:rPr>
        <w:lastRenderedPageBreak/>
        <w:t>alguna luz al respecto y, al menos provisionalmente, avalarían la tesis de que en la actualidad, más de cuarenta años después de que el trabajo de Bernard viera la luz, y en el marco de una sociedad como la española que lleva varias décadas luchando para lograr la plena igualdad de género, el matrimonio o la convivencia en pareja sigue siendo una institución asimétrica que, en términos relativos, es emocionalmente algo mejor para los hombres, y emocionalmente algo peor para las mujeres.</w:t>
      </w:r>
    </w:p>
    <w:p w14:paraId="2535630F" w14:textId="5AB6F283" w:rsidR="0000205E" w:rsidRDefault="001F3FB5" w:rsidP="005D529F">
      <w:pPr>
        <w:rPr>
          <w:rFonts w:cs="Times New Roman"/>
        </w:rPr>
      </w:pPr>
      <w:r w:rsidRPr="005D529F">
        <w:rPr>
          <w:noProof/>
          <w:lang w:val="es-ES"/>
        </w:rPr>
        <w:drawing>
          <wp:anchor distT="0" distB="0" distL="114300" distR="114300" simplePos="0" relativeHeight="251711488" behindDoc="0" locked="0" layoutInCell="1" allowOverlap="1" wp14:anchorId="0A570B72" wp14:editId="3B6CDE24">
            <wp:simplePos x="0" y="0"/>
            <wp:positionH relativeFrom="column">
              <wp:posOffset>0</wp:posOffset>
            </wp:positionH>
            <wp:positionV relativeFrom="paragraph">
              <wp:posOffset>1384300</wp:posOffset>
            </wp:positionV>
            <wp:extent cx="3115310" cy="2527300"/>
            <wp:effectExtent l="0" t="0" r="0"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8.2.pdf"/>
                    <pic:cNvPicPr/>
                  </pic:nvPicPr>
                  <pic:blipFill rotWithShape="1">
                    <a:blip r:embed="rId61">
                      <a:extLst>
                        <a:ext uri="{28A0092B-C50C-407E-A947-70E740481C1C}">
                          <a14:useLocalDpi xmlns:a14="http://schemas.microsoft.com/office/drawing/2010/main" val="0"/>
                        </a:ext>
                      </a:extLst>
                    </a:blip>
                    <a:srcRect l="13348" t="10372" r="41152" b="63554"/>
                    <a:stretch/>
                  </pic:blipFill>
                  <pic:spPr bwMode="auto">
                    <a:xfrm>
                      <a:off x="0" y="0"/>
                      <a:ext cx="3115310" cy="25273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D6A09" w:rsidRPr="005D529F">
        <w:rPr>
          <w:rFonts w:cs="Times New Roman"/>
        </w:rPr>
        <w:t>La prueba empírica de la tesis se construye calculando y analizando las ganancias de felicidad que obtienen, respectivamente, los hombres y las mujeres, al pasar de unas de unas situaciones de convivencia a otras. Así, utilizando los datos de España de la Tabla 8.2, comprobamos que el grado de bienestar emocional de los hombres casados (6,7) es mayor que el de los hombres solteros (5,9). Ahora bien, en esta misma tabla comprobamos que en el caso de la mujeres, las casadas (-9,4) tienen un nivel de bienestar emocional sensiblemente menor que el de las solteras (-1,5). Es decir, mientras que los hombres casados son un poco más felices que los solteros, la mujeres casadas son menos felices que las solteras. Una segunda prueba de lo bueno que pueda ser la institución del matrimonio para hombres y mujeres vendría dada por el cambio de bienestar emocional que existe entre casados/as y divorciados/as. Así, el bienestar emocional de una hombre que pasa de estar casado (6,7) a divorciado (-22,0) se reduce considerablemente, disminuyendo 28,7 puntos en la escala del IBSE. En el caso de la una mujer que hipotéticamente pasara de estar casada (-9,4) a estar divorciada (-18,4), la reducción de bienestar emocional sería bastante menor, equivalente a tan solo 9,0 puntos en la escala del IBSE. En suma, como hemos dicho, estos datos avalarían la tesis de la asimetría emocional de la institución del matrimonio, pero solamente de un modo tentativo y provisional, en tanto análisis longitudinales corroboren o no estas pautas. De cualquier modo, hay otros datos que no ofrecen una interpretación tan clara. Por ejemplo, las mujeres españolas que enviudan reducen su bienestar emocional en mayor medida que los hombres que enviudan. Sin embargo, como ya apuntamos en el quinto capítulo, esto puede ser en parte debido a la propia desigualdad de género que explica la asimetría emocional del matrimonio en España. Los datos europeos no avalarían la tesis general, lo que podría deberse a la mayor igualdad de género existente en otros países, o incluso a los diferentes modelos ideales de matrimonio vigentes en unos y otros países (Camarero, 2014).</w:t>
      </w:r>
    </w:p>
    <w:p w14:paraId="2A62E308" w14:textId="77777777" w:rsidR="0000205E" w:rsidRDefault="008D6A09" w:rsidP="005D529F">
      <w:pPr>
        <w:rPr>
          <w:rFonts w:cs="Times New Roman"/>
        </w:rPr>
      </w:pPr>
      <w:r w:rsidRPr="005D529F">
        <w:rPr>
          <w:rFonts w:cs="Times New Roman"/>
        </w:rPr>
        <w:lastRenderedPageBreak/>
        <w:t>El caso de la asimetría emocional de género que ofrecemos a continuación, no tiene que ver con la desigualdad de género general sino, específicamente, con la desigualdad de estatus social que tengan los miembros de un mismo matrimonio o pareja. Es decir, estaría relacionado con la desigualdad marital de género. En concreto, queremos saber qué impacto tiene esta desigualdad convivencial en el bienestar emocional de cada uno de los miembros de una pareja. Para ello, es preciso distinguir entre las parejas homógamas, es decir, parejas en las que los dos miembros tienen un nivel de estatus social similar, y parejas heterógamas, parejas en las que el estatus social de uno de los miembros es mayor que el de otro. Entre estas últimas, también sería necesario distinguir entre parejas hipérgamas, en las que la mujer tiene un estatus social más bajo que el hombre, y parejas hipógamas, en las que el hombre tiene un estatus social menor que la mujer. La hipergamia ha caracterizado la tradicional composición de los matrimonios en las sociedades con una gran desigualdad de género: en la pareja, el hombre tenía un alto estatus social, mientras que el estatus de la mujer era más bajo. Ahora bien, en las sociedades avanzadas, con los crecientes logros educativos de las mujeres y el continuado crecimiento de las tasas femeninas de empleo, la hipogamia, al menos en Europa, es ya tan frecuente como la hipergamia. Es decir, en la actualidad, muchos matrimonios o parejas están formadas por una mujer que tiene un estatus social superior al del hombre. Pues bien, hemos comprobado (Bericat, 2014) qué sucede con el bienestar emocional de ambos miembros de la pareja en cada uno de estos dos casos.</w:t>
      </w:r>
    </w:p>
    <w:p w14:paraId="297DFCA0" w14:textId="254F9342" w:rsidR="0000205E" w:rsidRDefault="008D6A09" w:rsidP="005D529F">
      <w:pPr>
        <w:rPr>
          <w:rFonts w:cs="Times New Roman"/>
          <w:lang w:val="es-ES"/>
        </w:rPr>
      </w:pPr>
      <w:r w:rsidRPr="005D529F">
        <w:rPr>
          <w:rFonts w:cs="Times New Roman"/>
        </w:rPr>
        <w:t xml:space="preserve">Para medir el estatus de cada miembro de la pareja se ha utilizado el Índice Socioeconómico Internacional de Estatus Ocupacional (ISEI)(Ganzeboom et al., 1992) (Ganzeboom y Treiman, 1996), y con sus valores se ha clasificado a los entrevistados, y a sus parejas, según su pertenencia a alguno de estos cinco niveles de estatus establecidos: </w:t>
      </w:r>
      <w:r w:rsidRPr="005D529F">
        <w:rPr>
          <w:rFonts w:cs="Times New Roman"/>
          <w:lang w:val="es-ES"/>
        </w:rPr>
        <w:t>Bajo (ISEI= 16-27), Medio-Bajo (ISEI= 28-34), Medio (ISEI= 35-46), Medio-Alto (ISEI= 47-61) y Alto (ISEI= 62-90). Una vez estimado el estatus socioeconómico de los  entrevistados en la ESS-2006, y el de sus respectivas parejas, los hemos clasificado según convivan en una pareja hipérgama o hipógama. Por último, hemos estimado el Índice de Bienestar Socioemocional (IBSE) de cada uno de los miembros de la pareja, según el tipo de pareja en el que convivan.</w:t>
      </w:r>
    </w:p>
    <w:p w14:paraId="04803618" w14:textId="78D113E2" w:rsidR="0000205E" w:rsidRDefault="00804286" w:rsidP="005D529F">
      <w:pPr>
        <w:rPr>
          <w:rFonts w:cs="Times New Roman"/>
          <w:lang w:val="es-ES"/>
        </w:rPr>
      </w:pPr>
      <w:r w:rsidRPr="005D529F">
        <w:rPr>
          <w:noProof/>
          <w:lang w:val="es-ES"/>
        </w:rPr>
        <w:drawing>
          <wp:anchor distT="0" distB="0" distL="114300" distR="114300" simplePos="0" relativeHeight="251712512" behindDoc="0" locked="0" layoutInCell="1" allowOverlap="1" wp14:anchorId="75EDF598" wp14:editId="07F4ABD5">
            <wp:simplePos x="0" y="0"/>
            <wp:positionH relativeFrom="column">
              <wp:posOffset>0</wp:posOffset>
            </wp:positionH>
            <wp:positionV relativeFrom="paragraph">
              <wp:posOffset>25400</wp:posOffset>
            </wp:positionV>
            <wp:extent cx="2057400" cy="2341245"/>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8.3.pdf"/>
                    <pic:cNvPicPr/>
                  </pic:nvPicPr>
                  <pic:blipFill rotWithShape="1">
                    <a:blip r:embed="rId62">
                      <a:extLst>
                        <a:ext uri="{28A0092B-C50C-407E-A947-70E740481C1C}">
                          <a14:useLocalDpi xmlns:a14="http://schemas.microsoft.com/office/drawing/2010/main" val="0"/>
                        </a:ext>
                      </a:extLst>
                    </a:blip>
                    <a:srcRect l="13349" t="13200" r="51103" b="58203"/>
                    <a:stretch/>
                  </pic:blipFill>
                  <pic:spPr bwMode="auto">
                    <a:xfrm>
                      <a:off x="0" y="0"/>
                      <a:ext cx="2057400" cy="23412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D6A09" w:rsidRPr="005D529F">
        <w:rPr>
          <w:rFonts w:cs="Times New Roman"/>
          <w:lang w:val="es-ES"/>
        </w:rPr>
        <w:t xml:space="preserve">En la Tabla 8.3 se presentan los resultados básicos de este análisis, y estos datos, que presentamos a continuación, muestran una sorprendente asimetría emocional de género en el marco de la convivencia en pareja. Veamos: cuando una mujer de estatus bajo convive con un hombre de estatus alto (situación tradicional y moderna), ambos miembros de la pareja, tanto la mujer como el hombre, muestran un nivel de bienestar emocional superior al que les correspondería según su propio estatus. En este tipo de parejas, la mujer mejora su grado de felicidad en 11,45 puntos del IBSE, y el hombre en </w:t>
      </w:r>
      <w:r w:rsidR="008D6A09" w:rsidRPr="005D529F">
        <w:rPr>
          <w:rFonts w:cs="Times New Roman"/>
          <w:lang w:val="es-ES"/>
        </w:rPr>
        <w:lastRenderedPageBreak/>
        <w:t>15,44 puntos. Pero ¿Qué sucede en el caso inverso, es decir, cuando un hombre de estatus bajo convive con una mujer de estatus alto? Pues bien, en estos casos (situación hipermoderna o posmoderna), tal y como podemos comprobar en la celda correspondiente de la Tabla 8.3 (Mujer/ estatus-alto y Hombre/estatus bajo), ambos miembros de la pareja muestran un nivel de bienestar emocional inferior al que les correspondería según su propio estatus: el grado de felicidad de la mujer desciende 10,88 puntos, y el del hombre desciende 14,21 puntos. En suma, otra asimetría de género mediante la que volvemos a constatar que toda lógica de discriminación social deja siempre una huella en el corazón de las personas (Bericat, 2014). El único modo de explicar estos resultados pasa por las tensiones emocionales que el hombre puede introducir en la convivencia al presentir que el superior estatus social de su mujer puede poner en riesgo su posición dominante en el seno de la pareja.</w:t>
      </w:r>
    </w:p>
    <w:p w14:paraId="5720A2B4" w14:textId="420208EF" w:rsidR="0000205E" w:rsidRDefault="008D6A09" w:rsidP="00804286">
      <w:pPr>
        <w:pStyle w:val="Ttulo3"/>
      </w:pPr>
      <w:bookmarkStart w:id="122" w:name="_Toc311991828"/>
      <w:bookmarkStart w:id="123" w:name="_Toc311993057"/>
      <w:r w:rsidRPr="005D529F">
        <w:t>El logro educativo</w:t>
      </w:r>
      <w:bookmarkEnd w:id="122"/>
      <w:bookmarkEnd w:id="123"/>
    </w:p>
    <w:p w14:paraId="4282864D" w14:textId="77777777" w:rsidR="0000205E" w:rsidRDefault="008D6A09" w:rsidP="005D529F">
      <w:pPr>
        <w:rPr>
          <w:rFonts w:cs="Times New Roman"/>
        </w:rPr>
      </w:pPr>
      <w:r w:rsidRPr="005D529F">
        <w:rPr>
          <w:rFonts w:cs="Times New Roman"/>
        </w:rPr>
        <w:t>Hemos mencionado que el elevado logro educativo de las mujeres está cambiando la composición social de las parejas y, por tanto, también cambiará muy pronto, y radicalmente, tanto la identidad de género como el juego de las relaciones de pareja. Así que, dada la fundamental importancia que tiene la educación para las mujeres, queríamos saber si el impacto que tiene el logro educativo sobre el bienestar emocional es el mismo para ambos géneros.</w:t>
      </w:r>
    </w:p>
    <w:p w14:paraId="20851159" w14:textId="77777777" w:rsidR="0000205E" w:rsidRDefault="008D6A09" w:rsidP="005D529F">
      <w:pPr>
        <w:rPr>
          <w:rFonts w:cs="Times New Roman"/>
        </w:rPr>
      </w:pPr>
      <w:r w:rsidRPr="005D529F">
        <w:rPr>
          <w:rFonts w:cs="Times New Roman"/>
        </w:rPr>
        <w:t xml:space="preserve">En principio, teniendo en cuenta la importancia que en la actualidad otorgamos a la educación, y el grado en que condiciona tanto el estatus social como el éxito laboral de las personas, cabría esperar que existiera una correlación bastante alta entre nivel educativo y bienestar emocional. Sin embargo, aunque la mayor parte de la investigaciones revelan la existencia de una correlación estadísticamente significativa, también demuestran que tal correlación es bastante débil (Diener et al. 1993) (Diener et al 1999) (Watson et al. 2010) (OECD 2011). En una revisión de los estudios empíricos realizados al respecto (meta-análisis), los autores encontraron que el nivel educativo explicaba tan solo entre un 1% y un 3% por ciento de la varianza (Witter et al. 1984). Ahora bien, nosotros creemos que, debido a la dificultad metodológica implícita en el cálculo de los efectos netos que la educación pueda tener sobre el bienestar subjetivo, estos resultados no cuentan con un alto grado de validez ni de fiabilidad. Dado que el nivel educativo está estrechamente correlacionado con otras muchas variables, social y emocionalmente fundamentales,  como por ejemplo los ingresos, la ocupación, la salud o el estatus social, resulta casi imposible distinguir efectos netos, sean directos o indirectos. En un conocido artículo, el profesor Michalos se preguntaba si la educación influye en la felicidad, y si es así, cuánto. Su respuesta fue la siguiente: depende de cómo definamos y operacionalicemos las ideas de “educación”, “influencia” y “felicidad”. Si usamos una definición y operacionalización estrecha,  se sabe que el efecto directo del nivel educativo sobre la escala de felicidad es bastante pequeño. Si usamos una definición más amplia y </w:t>
      </w:r>
      <w:r w:rsidRPr="005D529F">
        <w:rPr>
          <w:rFonts w:cs="Times New Roman"/>
        </w:rPr>
        <w:lastRenderedPageBreak/>
        <w:t>robusta de estos tres conceptos, entonces la educación tiene una enorme influencia en la felicidad (Michalos, 2008).</w:t>
      </w:r>
    </w:p>
    <w:p w14:paraId="4B25D983" w14:textId="77777777" w:rsidR="0000205E" w:rsidRDefault="008D6A09" w:rsidP="005D529F">
      <w:pPr>
        <w:rPr>
          <w:rFonts w:cs="Times New Roman"/>
        </w:rPr>
      </w:pPr>
      <w:r w:rsidRPr="005D529F">
        <w:rPr>
          <w:noProof/>
          <w:lang w:val="es-ES"/>
        </w:rPr>
        <w:drawing>
          <wp:anchor distT="0" distB="0" distL="114300" distR="114300" simplePos="0" relativeHeight="251713536" behindDoc="0" locked="0" layoutInCell="1" allowOverlap="1" wp14:anchorId="559F1CF3" wp14:editId="5D878E08">
            <wp:simplePos x="0" y="0"/>
            <wp:positionH relativeFrom="column">
              <wp:posOffset>0</wp:posOffset>
            </wp:positionH>
            <wp:positionV relativeFrom="paragraph">
              <wp:posOffset>1003300</wp:posOffset>
            </wp:positionV>
            <wp:extent cx="2628900" cy="3086100"/>
            <wp:effectExtent l="0" t="0" r="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8.4.pdf"/>
                    <pic:cNvPicPr/>
                  </pic:nvPicPr>
                  <pic:blipFill rotWithShape="1">
                    <a:blip r:embed="rId63">
                      <a:extLst>
                        <a:ext uri="{28A0092B-C50C-407E-A947-70E740481C1C}">
                          <a14:useLocalDpi xmlns:a14="http://schemas.microsoft.com/office/drawing/2010/main" val="0"/>
                        </a:ext>
                      </a:extLst>
                    </a:blip>
                    <a:srcRect l="13350" t="13197" r="47122" b="53998"/>
                    <a:stretch/>
                  </pic:blipFill>
                  <pic:spPr bwMode="auto">
                    <a:xfrm>
                      <a:off x="0" y="0"/>
                      <a:ext cx="2628900" cy="30861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D529F">
        <w:rPr>
          <w:rFonts w:cs="Times New Roman"/>
        </w:rPr>
        <w:t>La información de la Tabla 8.4 deja constancia de las relaciones un tanto paradójicas y contra</w:t>
      </w:r>
      <w:r w:rsidRPr="005D529F">
        <w:rPr>
          <w:rFonts w:cs="Times New Roman"/>
        </w:rPr>
        <w:noBreakHyphen/>
        <w:t>intuitivas existentes entre  el nivel educativo y el bienestar emocional. Aunque ahora no es momento de clarificar todas estas relaciones, sí queríamos subrayar la idea, importantísima, de que en la actualidad los datos demuestran que, para las mujeres, el logro educativo tiene una relevancia y un impacto socioemocional mucho mayor que para los hombres. La diferencia entre el grado de felicidad de las mujeres europeas que cuentan con un bajo nivel de estudios (-19,0), y las que tiene un nivel de estudios universitario (3,4), es equivalente a 22,4 puntos en la escala del IBSE. En cambio, en el caso de los hombres, la diferencia entre tener bajo (0,7) o alto (12,1) nivel de estudios es bastante menor, equivaliendo tan solo a 11,4 puntos de la escala IBSE. Aún con las peculiaridades propias que muestran los datos en nuestro país, también la diferencia existente en las mujeres españolas, 25,4 puntos en la escala IBSE, es mucho mayor que la de los hombres, que equivale tan solo a 7,7 puntos del IBSE. Estos resultados cuentan con el apoyo de algunos otros estudios,  que también muestran  una mayor  correlación entre el nivel educativo y el bienestar subjetivo de las mujeres que el de los hombres (Witter et al. 1984).</w:t>
      </w:r>
    </w:p>
    <w:p w14:paraId="5002478E" w14:textId="77777777" w:rsidR="00804286" w:rsidRDefault="008D6A09" w:rsidP="005D529F">
      <w:pPr>
        <w:rPr>
          <w:rFonts w:cs="Times New Roman"/>
        </w:rPr>
      </w:pPr>
      <w:r w:rsidRPr="005D529F">
        <w:rPr>
          <w:rFonts w:cs="Times New Roman"/>
        </w:rPr>
        <w:t>En suma, esta asimetría de género demuestra que la cantidad de recompensas emocionales que obtienen las mujeres por sus logros educativos es mayor que la que obtienen los hombres, lo que podría explicar el enorme interés, implicación, compromiso y esfuerzo con el que las mujeres se aplican en los estudios. Esta asimetría de género, favorable a las mujeres, también explicaría tanto la motivación que impulsa el avance educativo de las mujeres, cuyo nivel ya supera al de los hombres, como su mayor rendimiento académico y capacitación intelectual.</w:t>
      </w:r>
    </w:p>
    <w:p w14:paraId="02BA4AF6" w14:textId="77777777" w:rsidR="00804286" w:rsidRDefault="00804286" w:rsidP="005D529F">
      <w:pPr>
        <w:rPr>
          <w:rFonts w:cs="Times New Roman"/>
        </w:rPr>
      </w:pPr>
    </w:p>
    <w:p w14:paraId="1F43D2B7" w14:textId="027FFA84" w:rsidR="0000205E" w:rsidRDefault="008D6A09" w:rsidP="005D529F">
      <w:pPr>
        <w:rPr>
          <w:rFonts w:cs="Times New Roman"/>
        </w:rPr>
      </w:pPr>
      <w:r w:rsidRPr="005D529F">
        <w:rPr>
          <w:rFonts w:cs="Times New Roman"/>
        </w:rPr>
        <w:t xml:space="preserve"> </w:t>
      </w:r>
    </w:p>
    <w:p w14:paraId="3C85ACB3" w14:textId="77777777" w:rsidR="0000205E" w:rsidRDefault="00D511BF" w:rsidP="00804286">
      <w:pPr>
        <w:pStyle w:val="Ttulo2"/>
      </w:pPr>
      <w:bookmarkStart w:id="124" w:name="_Toc311991829"/>
      <w:bookmarkStart w:id="125" w:name="_Toc311993058"/>
      <w:r w:rsidRPr="005D529F">
        <w:lastRenderedPageBreak/>
        <w:t xml:space="preserve">8.3 </w:t>
      </w:r>
      <w:r w:rsidR="008D6A09" w:rsidRPr="005D529F">
        <w:t xml:space="preserve"> Pe</w:t>
      </w:r>
      <w:r w:rsidRPr="005D529F">
        <w:t>rsonas mayores: salud y soledad</w:t>
      </w:r>
      <w:bookmarkEnd w:id="124"/>
      <w:bookmarkEnd w:id="125"/>
    </w:p>
    <w:p w14:paraId="62BC9917" w14:textId="77777777" w:rsidR="0000205E" w:rsidRDefault="008D6A09" w:rsidP="005D529F">
      <w:pPr>
        <w:rPr>
          <w:rFonts w:cs="Times New Roman"/>
        </w:rPr>
      </w:pPr>
      <w:r w:rsidRPr="005D529F">
        <w:rPr>
          <w:rFonts w:cs="Times New Roman"/>
        </w:rPr>
        <w:t>Al principio de este capítulo, en el Gráfico 8.1, vimos que el bienestar emocional de las personas mayores sufría un fuerte descenso a partir de los 75 años, manteniéndose luego aproximadamente constante. Sin duda, esta pauta constituye una representación fiel del grado de felicidad que, por término medio, se experimenta a partir de esa edad. Ahora bien, esto no significa ni mucho menos que todas las personas mayores tengan parecidos niveles de bienestar emocional. Por este motivo, en este epígrafe quisiéramos presentar algunas informaciones útiles para comprender que el grado de felicidad de los mayores y de los ancianos varía enormemente de acuerdo con sus específicas condiciones de vida. Como está ampliamente demostrado que tanto la salud como la soledad tienen un gran influencia en el bienestar subjetivo de todos los individuos, podemos suponer que, dada la vulnerabilidad que caracteriza la vida de los mayores y de los ancianos, la salud y la soledad serán dos factores críticos de la felicidad a estas edades. Las tablas 8.5 y 8.6 presentan información empírica a este respecto.</w:t>
      </w:r>
    </w:p>
    <w:p w14:paraId="469E7DD6" w14:textId="77777777" w:rsidR="0000205E" w:rsidRDefault="008D6A09" w:rsidP="005D529F">
      <w:pPr>
        <w:rPr>
          <w:rFonts w:cs="Times New Roman"/>
        </w:rPr>
      </w:pPr>
      <w:r w:rsidRPr="005D529F">
        <w:rPr>
          <w:rFonts w:cs="Times New Roman"/>
        </w:rPr>
        <w:t xml:space="preserve">Comencemos comprobando hasta qué punto influye la salud, medida según la percepción subjetiva que tengan las propias personas mayores, en su bienestar emocional. La pregunta formulada a los entrevistados fue la siguiente: “Hablando de su salud, en general, ¿diría usted que su salud es ... muy buena, buena, normal, mala o muy mala?” Los datos de la Tabla 8.5 demuestran, primero, que la felicidad de las personas mayores es muy variable, pudiendo oscilar en España, según cual sea su estado de salud, entre un valor positivo de 25,1 puntos, y un valor negativo de </w:t>
      </w:r>
      <w:r w:rsidRPr="005D529F">
        <w:rPr>
          <w:rFonts w:cs="Times New Roman"/>
        </w:rPr>
        <w:noBreakHyphen/>
        <w:t>79,9. Segundo, el hecho de que el rango de variación equivalga a 105 puntos en la escala IBSE da cuenta de la gran influencia que tiene el estado de salud sobre el bienestar emocional de las personas mayores. Y tercero, estos datos nos ofrecen una dolorosa prueba de hasta qué niveles llega la infelicidad de los ancianos españoles cuando su estado de salud se deteriora, sea malo (</w:t>
      </w:r>
      <w:r w:rsidRPr="005D529F">
        <w:rPr>
          <w:rFonts w:cs="Times New Roman"/>
        </w:rPr>
        <w:noBreakHyphen/>
        <w:t>38,0) ó muy malo (</w:t>
      </w:r>
      <w:r w:rsidRPr="005D529F">
        <w:rPr>
          <w:rFonts w:cs="Times New Roman"/>
        </w:rPr>
        <w:noBreakHyphen/>
        <w:t>79,9). Por tanto, es evidente que, en España, las personas mayores con mala o muy mala salud también están excluidos de la felicidad.</w:t>
      </w:r>
    </w:p>
    <w:p w14:paraId="5A5DC8D6" w14:textId="77777777" w:rsidR="0000205E" w:rsidRDefault="008D6A09" w:rsidP="005D529F">
      <w:pPr>
        <w:rPr>
          <w:rFonts w:cs="Times New Roman"/>
        </w:rPr>
      </w:pPr>
      <w:r w:rsidRPr="005D529F">
        <w:rPr>
          <w:rFonts w:cs="Times New Roman"/>
        </w:rPr>
        <w:t xml:space="preserve">La pauta que nos muestran los datos en Europa es bastante similar a la de España, aunque se observan algunas importantes diferencias. Los mayores europeos con buena o muy buena salud tienen un bienestar emocional de 15,9 y de 31,5 puntos en la escala IBSE, mientras que los españoles tienen, respectivamente, tan solo un valor de 6,7 y de 15,1. Es decir, que los mayores europeos con buena o muy buena salud son más felices que los españoles con este mismo nivel de salud subjetiva. A la inversa, los mayores europeos con mala o muy mala salud tienen un bienestar emocional de </w:t>
      </w:r>
      <w:r w:rsidRPr="005D529F">
        <w:rPr>
          <w:rFonts w:cs="Times New Roman"/>
        </w:rPr>
        <w:noBreakHyphen/>
        <w:t xml:space="preserve">38,6 y de </w:t>
      </w:r>
      <w:r w:rsidRPr="005D529F">
        <w:rPr>
          <w:rFonts w:cs="Times New Roman"/>
        </w:rPr>
        <w:noBreakHyphen/>
        <w:t>64,7 puntos en la escala IBSE, mientras que los españoles tienen, respectivamente, un valor similar en el primer caso (</w:t>
      </w:r>
      <w:r w:rsidRPr="005D529F">
        <w:rPr>
          <w:rFonts w:cs="Times New Roman"/>
        </w:rPr>
        <w:noBreakHyphen/>
        <w:t>38,0), pero un valor todavía inferior en el segundo (-79,9).</w:t>
      </w:r>
    </w:p>
    <w:p w14:paraId="120D19D9" w14:textId="42666960" w:rsidR="0000205E" w:rsidRDefault="008D6A09" w:rsidP="005D529F">
      <w:pPr>
        <w:rPr>
          <w:rFonts w:cs="Times New Roman"/>
        </w:rPr>
      </w:pPr>
      <w:r w:rsidRPr="005D529F">
        <w:rPr>
          <w:rFonts w:cs="Times New Roman"/>
        </w:rPr>
        <w:t xml:space="preserve">La interpretación de estos datos requiere conocer también el porcentaje de personas mayores que hay con buena y mala salud subjetiva tanto en España como en Europa. Tomando en consideración estos datos, incluidos en la Tabla 8.5, vemos que el porcentaje de personas mayores con muy buena o buena salud en Europa (38,4%), es bastante más alto que el de España (30,2%). A la inversa, el porcentaje de personas </w:t>
      </w:r>
      <w:r w:rsidRPr="005D529F">
        <w:rPr>
          <w:rFonts w:cs="Times New Roman"/>
        </w:rPr>
        <w:lastRenderedPageBreak/>
        <w:t xml:space="preserve">mayores con un estado subjetivo de salud muy malo o malo en Europa (20,3%) es muy </w:t>
      </w:r>
      <w:r w:rsidR="00804286" w:rsidRPr="005D529F">
        <w:rPr>
          <w:noProof/>
          <w:lang w:val="es-ES"/>
        </w:rPr>
        <w:drawing>
          <wp:anchor distT="0" distB="0" distL="114300" distR="114300" simplePos="0" relativeHeight="251714560" behindDoc="0" locked="0" layoutInCell="1" allowOverlap="1" wp14:anchorId="6553F647" wp14:editId="4992A554">
            <wp:simplePos x="0" y="0"/>
            <wp:positionH relativeFrom="column">
              <wp:posOffset>0</wp:posOffset>
            </wp:positionH>
            <wp:positionV relativeFrom="paragraph">
              <wp:posOffset>228600</wp:posOffset>
            </wp:positionV>
            <wp:extent cx="2630805" cy="2171700"/>
            <wp:effectExtent l="0" t="0" r="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8.5.pdf"/>
                    <pic:cNvPicPr/>
                  </pic:nvPicPr>
                  <pic:blipFill rotWithShape="1">
                    <a:blip r:embed="rId64">
                      <a:extLst>
                        <a:ext uri="{28A0092B-C50C-407E-A947-70E740481C1C}">
                          <a14:useLocalDpi xmlns:a14="http://schemas.microsoft.com/office/drawing/2010/main" val="0"/>
                        </a:ext>
                      </a:extLst>
                    </a:blip>
                    <a:srcRect l="12677" t="8013" r="41822" b="65438"/>
                    <a:stretch/>
                  </pic:blipFill>
                  <pic:spPr bwMode="auto">
                    <a:xfrm>
                      <a:off x="0" y="0"/>
                      <a:ext cx="2630805" cy="21717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D529F">
        <w:rPr>
          <w:rFonts w:cs="Times New Roman"/>
        </w:rPr>
        <w:t>inferior al de España (33,5%). En conclusión, el estado de salud subjetivo de las personas mayores y ancianas en España no solo es bastante peor que en Europa, sino que además el bienestar emocional asociado a un mismo estado de salud es, en España, inferior al de las personas mayores o ancianas en Europa. La política social orientada a las personas mayores en España debería tener en cuenta tanto sus estados de salud como sus estructuras afectivas.</w:t>
      </w:r>
    </w:p>
    <w:p w14:paraId="3364F567" w14:textId="50A5F18E" w:rsidR="0000205E" w:rsidRDefault="008D6A09" w:rsidP="005D529F">
      <w:pPr>
        <w:rPr>
          <w:rFonts w:cs="Times New Roman"/>
        </w:rPr>
      </w:pPr>
      <w:r w:rsidRPr="005D529F">
        <w:rPr>
          <w:rFonts w:cs="Times New Roman"/>
        </w:rPr>
        <w:t>Comprobaremos ahora, en segundo lugar, hasta qué punto las relaciones sociales que mantengan las personas mayores condicionan su grado de felicidad. De entre los datos que nos ofrece la Encuesta Social Europea, aquí utilizaremos una pregunta que puede indicarnos con bastante precisión el grado de soledad de una persona. La pregunta dice: “¿Con qué frecuencia se reúne en su tiempo libre con sus amigos, familiares o compañeros de trabajo?” Siendo las posibles respuestas: nunca; menos de una vez al mes; varias veces al mes; una vez a la semana; varias veces a la semana; todos los días. Importa destacar que esta pregunta no mide el sentimiento de soledad o soledad subjetiva de una persona, información que forma parte del propio Índice de Bienestar Socioemocional, sino el grado de soledad objetiva o ausencia de contactos cara a cara en su actual situación de vida. Es obvio que los matices introducidos en la pregunta, al especificar “en su tiempo libre”, o al mencionar “compañeros de trabajo”, no tienen especial relevancia en el caso de las personas mayores o ancianas. Lo importante es que la pregunta nos ofrece una medida de la frecuencia con la que estas personas se reúnen o encuentran con sus familiares o amigos, es decir, que mide su grado de actividad social.</w:t>
      </w:r>
    </w:p>
    <w:p w14:paraId="5244FB15" w14:textId="77777777" w:rsidR="0000205E" w:rsidRDefault="008D6A09" w:rsidP="005D529F">
      <w:pPr>
        <w:rPr>
          <w:rFonts w:cs="Times New Roman"/>
        </w:rPr>
      </w:pPr>
      <w:r w:rsidRPr="005D529F">
        <w:rPr>
          <w:noProof/>
          <w:lang w:val="es-ES"/>
        </w:rPr>
        <w:drawing>
          <wp:anchor distT="0" distB="0" distL="114300" distR="114300" simplePos="0" relativeHeight="251715584" behindDoc="0" locked="0" layoutInCell="1" allowOverlap="1" wp14:anchorId="09B94E7F" wp14:editId="6C65E13D">
            <wp:simplePos x="0" y="0"/>
            <wp:positionH relativeFrom="column">
              <wp:posOffset>0</wp:posOffset>
            </wp:positionH>
            <wp:positionV relativeFrom="paragraph">
              <wp:posOffset>177800</wp:posOffset>
            </wp:positionV>
            <wp:extent cx="3021330" cy="2324100"/>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8.6.pdf"/>
                    <pic:cNvPicPr/>
                  </pic:nvPicPr>
                  <pic:blipFill rotWithShape="1">
                    <a:blip r:embed="rId65">
                      <a:extLst>
                        <a:ext uri="{28A0092B-C50C-407E-A947-70E740481C1C}">
                          <a14:useLocalDpi xmlns:a14="http://schemas.microsoft.com/office/drawing/2010/main" val="0"/>
                        </a:ext>
                      </a:extLst>
                    </a:blip>
                    <a:srcRect l="12676" t="8014" r="41177" b="66905"/>
                    <a:stretch/>
                  </pic:blipFill>
                  <pic:spPr bwMode="auto">
                    <a:xfrm>
                      <a:off x="0" y="0"/>
                      <a:ext cx="3021330" cy="23241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D529F">
        <w:rPr>
          <w:rFonts w:cs="Times New Roman"/>
        </w:rPr>
        <w:t xml:space="preserve">De acuerdo con los datos de la Tabla 8.6, es evidente que la frecuencia de los contactos cara a cara que las personas mayores tengan con amigos y familiares condiciona mucho su grado de felicidad. Ahora bien, la pauta es diferente a la que nos han revelado los datos en el caso del estado de salud. Así, en España, el rango de variación existente entre el bienestar emocional de las personas mayores que mantienen contactos sociales diarios (0,1), y </w:t>
      </w:r>
      <w:r w:rsidRPr="005D529F">
        <w:rPr>
          <w:rFonts w:cs="Times New Roman"/>
        </w:rPr>
        <w:lastRenderedPageBreak/>
        <w:t>las que nunca tienen contactos sociales (</w:t>
      </w:r>
      <w:r w:rsidRPr="005D529F">
        <w:rPr>
          <w:rFonts w:cs="Times New Roman"/>
        </w:rPr>
        <w:noBreakHyphen/>
        <w:t>57,5), es muy elevada, pues equivale a 57,6 puntos del IBSE. Sin embargo, este rango de variación es bastante menor que el de la salud, un rango excepcionalmente alto, que llegaba hasta los 105 puntos. En segundo lugar, el estado de salud, bueno o malo, condicionaba valores del IBSE, negativos o positivos. Ahora bien, en este caso observamos que la presencia de contactos sociales diarios tan solo determina valores próximos a cero, es decir equivalentes a la media general de la población. En cambio, cuando la soledad objetiva caracteriza la situación de vida de una persona mayor o anciana, entonces sí que desciende, y mucho, el índice de bienestar emocional. En este sentido, tendría mucho interés poder explicar el efecto asimétrico que tienen la “compañía” y la “soledad” en la felicidad de las personas mayores.</w:t>
      </w:r>
    </w:p>
    <w:p w14:paraId="1CAD6755" w14:textId="77777777" w:rsidR="0000205E" w:rsidRDefault="008D6A09" w:rsidP="005D529F">
      <w:pPr>
        <w:rPr>
          <w:rFonts w:cs="Times New Roman"/>
        </w:rPr>
      </w:pPr>
      <w:r w:rsidRPr="005D529F">
        <w:rPr>
          <w:rFonts w:cs="Times New Roman"/>
        </w:rPr>
        <w:t>La comparación con Europa también arroja resultados muy interesantes. El bienestar emocional de las personas mayores con actividad social diaria es, en España y en Europa, muy parecido (0,1 y 0,4, respectivamente). A partir de ahí, la brecha entre los grados de felicidad de los mayores españoles y europeos se va ampliando conforme aumentan los niveles de soledad objetiva. Así, el bienestar emocional de los mayores españoles que están solos (</w:t>
      </w:r>
      <w:r w:rsidRPr="005D529F">
        <w:rPr>
          <w:rFonts w:cs="Times New Roman"/>
        </w:rPr>
        <w:noBreakHyphen/>
        <w:t xml:space="preserve">57,5), es casi veinticinco puntos inferior al de los europeos que están solos (-32,8). Parece que las personas mayores en España soportan bastante peor la soledad que las personas mayores en Europa. Quizás el efecto asimétrico anteriormente comentado pudiera explicarse porque nuestras personas mayores, al dar  por supuesta la compañía de familiares y amigos, no obtienen por ello ningún extra de felicidad. En cualquier caso, los datos demuestran que en la sociedad española, la soledad objetiva, o carencia de contactos sociales,  provoca en las personas mayores una intensa exclusión de la felicidad. Y esto significa que la política social dirigida a los mayores en nuestro país habrá de tener en cuenta este importante factor de exclusión emocional. Por último, también ha de tenerse en cuenta que, según indican los porcentajes de población incluidos en la Tabla 8.6, la soledad objetiva entre los mayores españoles es menos frecuente que entre los europeos. </w:t>
      </w:r>
    </w:p>
    <w:p w14:paraId="20AC8FBE" w14:textId="77777777" w:rsidR="0000205E" w:rsidRDefault="008D6A09" w:rsidP="005D529F">
      <w:pPr>
        <w:rPr>
          <w:rFonts w:cs="Times New Roman"/>
        </w:rPr>
      </w:pPr>
      <w:r w:rsidRPr="005D529F">
        <w:rPr>
          <w:rFonts w:cs="Times New Roman"/>
        </w:rPr>
        <w:t xml:space="preserve">Aparte de todo lo dicho, y a modo de conclusión, es muy importante saber que cuando las personas mayores combinan enfermedad y soledad, es decir, cuando además de estar enfermas están solas, o cuando además de estar solas están enfermas, el grado de bienestar emocional desciende dramáticamente hasta un valor excepcionalmente bajo, equivalente a </w:t>
      </w:r>
      <w:r w:rsidRPr="005D529F">
        <w:rPr>
          <w:rFonts w:cs="Times New Roman"/>
        </w:rPr>
        <w:noBreakHyphen/>
        <w:t>109,4 puntos de la escala de IBSE. La estructura afectiva de estas personas es de puro sufrimiento y de pura infelicidad.</w:t>
      </w:r>
    </w:p>
    <w:p w14:paraId="584C8DE3" w14:textId="77777777" w:rsidR="0000205E" w:rsidRDefault="008D6A09" w:rsidP="009E6344">
      <w:pPr>
        <w:pStyle w:val="Ttulo2"/>
      </w:pPr>
      <w:bookmarkStart w:id="126" w:name="_Toc311991830"/>
      <w:bookmarkStart w:id="127" w:name="_Toc311993059"/>
      <w:r w:rsidRPr="005D529F">
        <w:t>8.4</w:t>
      </w:r>
      <w:r w:rsidR="00DD2FBF" w:rsidRPr="005D529F">
        <w:t xml:space="preserve"> </w:t>
      </w:r>
      <w:r w:rsidRPr="005D529F">
        <w:t xml:space="preserve"> Jóvenes: es</w:t>
      </w:r>
      <w:r w:rsidR="00DD2FBF" w:rsidRPr="005D529F">
        <w:t>tudiantes, trabajadores y ninis</w:t>
      </w:r>
      <w:bookmarkEnd w:id="126"/>
      <w:bookmarkEnd w:id="127"/>
    </w:p>
    <w:p w14:paraId="7F79ECA3" w14:textId="77777777" w:rsidR="0000205E" w:rsidRDefault="008D6A09" w:rsidP="005D529F">
      <w:pPr>
        <w:rPr>
          <w:rFonts w:cs="Times New Roman"/>
        </w:rPr>
      </w:pPr>
      <w:r w:rsidRPr="005D529F">
        <w:rPr>
          <w:rFonts w:cs="Times New Roman"/>
        </w:rPr>
        <w:t xml:space="preserve">Los jóvenes tienen un nivel de bienestar socioemocional superior a la media de la población. Ahora bien, tal y como hemos visto en el Gráfico 8.1, su grado de felicidad decrece progresivamente conforme aumenta su edad. Tras analizar el bienestar subjetivo </w:t>
      </w:r>
      <w:r w:rsidRPr="005D529F">
        <w:rPr>
          <w:rFonts w:cs="Times New Roman"/>
        </w:rPr>
        <w:lastRenderedPageBreak/>
        <w:t>de los jóvenes europeos, Pichler (2006:442) llega a la conclusión de que “cuando se le pregunta a un joven ¿qué tal estás?, la respuesta es siempre la misma: ‘bien’, lo cual es indicativo de una alta calidad de vida, que es independiente de cuáles sean sus circunstancias vitales”.</w:t>
      </w:r>
    </w:p>
    <w:p w14:paraId="32C5CC09" w14:textId="77777777" w:rsidR="0000205E" w:rsidRDefault="008D6A09" w:rsidP="005D529F">
      <w:pPr>
        <w:rPr>
          <w:rFonts w:cs="Times New Roman"/>
        </w:rPr>
      </w:pPr>
      <w:r w:rsidRPr="005D529F">
        <w:rPr>
          <w:rFonts w:cs="Times New Roman"/>
        </w:rPr>
        <w:t>La conclusión a la que llega Pichler es bastante burda y, por supuesto, exagerada. El hecho de haber basado su análisis en dos clases de contraste tomadas en su conjunto, por un lado los menores de treinta y, por otro, los mayores de treinta años, condiciona unos resultados que resultan ser insensibles a los matices y sutilezas propias del fenómeno que nos ocupa, la felicidad. En una versión no tan contundente de la misma tesis, afirma que “los jóvenes parecen ser más resistentes que la población de treinta y más años a cambios de la calidad de vida derivados de algún deterioro de las condiciones objetivas de su situación” (Pichler, 2006:433). Pese a que esta sentencia contiene una buena parte de verdad, al reconocer la resiliencia propia de la juventud, es decir, su capacidad humana de asumir con flexibilidad situaciones límite y sobreponerse a ellas, tal y como el término resiliencia es definido por la R.A.E, sigue siendo en parte falsa porque encubre el modo particular en que la felicidad se distribuye entre los jóvenes, es decir, oculta más de lo que muestra.</w:t>
      </w:r>
    </w:p>
    <w:p w14:paraId="20BAF91E" w14:textId="77777777" w:rsidR="0000205E" w:rsidRDefault="008D6A09" w:rsidP="005D529F">
      <w:pPr>
        <w:rPr>
          <w:rFonts w:cs="Times New Roman"/>
        </w:rPr>
      </w:pPr>
      <w:r w:rsidRPr="005D529F">
        <w:rPr>
          <w:rFonts w:cs="Times New Roman"/>
        </w:rPr>
        <w:t>Aún desconociendo las razones últimas de por qué sea realmente así, es obvio que la juventud, en general, está asociada con la alegría, la fortaleza de espíritu, la diversión, el contento, la felicidad, y un sinnúmero de emociones positivas que afloran espontáneamente incluso en las situaciones más difíciles. Ahora bien, esto no significa que todos los jóvenes sean igualmente felices, ni tampoco que las condiciones concretas de su situación les sean completamente indiferentes. Puede que la felicidad de la juventud sea un misterioso regalo de la naturaleza; puede que el carácter o la personalidad del joven le predisponga en cualquier situación existencial a buscar la felicidad; o puede que la vida no haya encontrado aún la oportunidad de marcar con dolor y sufrimiento indelebles su breve biografía. Pero sea cual sea la razón o razones que puedan explicar esta predisposición general a la felicidad, quizás más acusada en los jóvenes que en cualquier otro ser humano, lo cierto es que, también en ellos, las condiciones sociales de su existencia determinan el campo de posibilidades en el que se puede llegar a ser verdaderamente desgraciado o realmente feliz.</w:t>
      </w:r>
    </w:p>
    <w:p w14:paraId="0406A16B" w14:textId="77777777" w:rsidR="0000205E" w:rsidRDefault="008D6A09" w:rsidP="005D529F">
      <w:pPr>
        <w:rPr>
          <w:rFonts w:cs="Times New Roman"/>
        </w:rPr>
      </w:pPr>
      <w:r w:rsidRPr="005D529F">
        <w:rPr>
          <w:rFonts w:cs="Times New Roman"/>
        </w:rPr>
        <w:t xml:space="preserve">Con el objeto de comprobar la hipótesis de la existencia o inexistencia de relación entre las condiciones vitales de un joven y su grado de felicidad, analizaremos los datos del bienestar emocional teniendo en cuenta sus tres fundamentales situaciones de actividad, esto es, la de “estudiante”, la de “trabajador”, y la de “ni estudiante ni trabajador”, así como una clasificación de edades que se ajusta a la distribución de estas tres situaciones. Esta clasificación distingue entre jóvenes de 15-18, 19-21, 22-24 y 25-29 años. Dado el proceso de postergación de la madurez que están experimentando los jóvenes en las sociedades avanzadas (Mayer, 2004), y particularmente en la sociedad española, también se incluyen los datos de las cohortes de edad de 30-34 y 35-40. Veremos que la situación de estas cohortes configura el horizonte de madurez en el que los jóvenes se ven </w:t>
      </w:r>
      <w:r w:rsidRPr="005D529F">
        <w:rPr>
          <w:rFonts w:cs="Times New Roman"/>
        </w:rPr>
        <w:lastRenderedPageBreak/>
        <w:t>reflejados, constituyendo así, desde un futuro anticipado y previsible, el ethos emocional de toda la juventud.</w:t>
      </w:r>
    </w:p>
    <w:p w14:paraId="65477FB8" w14:textId="77777777" w:rsidR="0000205E" w:rsidRDefault="008D6A09" w:rsidP="009E6344">
      <w:pPr>
        <w:pStyle w:val="Ttulo3"/>
      </w:pPr>
      <w:bookmarkStart w:id="128" w:name="_Toc311991831"/>
      <w:bookmarkStart w:id="129" w:name="_Toc311993060"/>
      <w:r w:rsidRPr="005D529F">
        <w:t>Estudiantes, trabajadores y ninis</w:t>
      </w:r>
      <w:bookmarkEnd w:id="128"/>
      <w:bookmarkEnd w:id="129"/>
    </w:p>
    <w:p w14:paraId="092B4E16" w14:textId="0ABAB129" w:rsidR="0000205E" w:rsidRDefault="009E6344" w:rsidP="005D529F">
      <w:pPr>
        <w:rPr>
          <w:rFonts w:cs="Times New Roman"/>
        </w:rPr>
      </w:pPr>
      <w:r w:rsidRPr="005D529F">
        <w:rPr>
          <w:rFonts w:cs="Times New Roman"/>
          <w:noProof/>
          <w:lang w:val="es-ES"/>
        </w:rPr>
        <w:drawing>
          <wp:anchor distT="0" distB="0" distL="114300" distR="114300" simplePos="0" relativeHeight="251709440" behindDoc="0" locked="0" layoutInCell="1" allowOverlap="1" wp14:anchorId="5BB683B8" wp14:editId="3A21051F">
            <wp:simplePos x="0" y="0"/>
            <wp:positionH relativeFrom="column">
              <wp:posOffset>0</wp:posOffset>
            </wp:positionH>
            <wp:positionV relativeFrom="paragraph">
              <wp:posOffset>4165600</wp:posOffset>
            </wp:positionV>
            <wp:extent cx="2312035" cy="3352800"/>
            <wp:effectExtent l="0" t="0" r="0" b="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 estudiantes trabjadores ninis España 2012.pdf"/>
                    <pic:cNvPicPr/>
                  </pic:nvPicPr>
                  <pic:blipFill rotWithShape="1">
                    <a:blip r:embed="rId66">
                      <a:extLst>
                        <a:ext uri="{28A0092B-C50C-407E-A947-70E740481C1C}">
                          <a14:useLocalDpi xmlns:a14="http://schemas.microsoft.com/office/drawing/2010/main" val="0"/>
                        </a:ext>
                      </a:extLst>
                    </a:blip>
                    <a:srcRect l="11370" t="7733" r="41257" b="39207"/>
                    <a:stretch/>
                  </pic:blipFill>
                  <pic:spPr bwMode="auto">
                    <a:xfrm>
                      <a:off x="0" y="0"/>
                      <a:ext cx="2312035" cy="33528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D6A09" w:rsidRPr="005D529F">
        <w:rPr>
          <w:rFonts w:cs="Times New Roman"/>
          <w:noProof/>
          <w:lang w:val="es-ES"/>
        </w:rPr>
        <w:drawing>
          <wp:anchor distT="0" distB="0" distL="114300" distR="114300" simplePos="0" relativeHeight="251708416" behindDoc="0" locked="0" layoutInCell="1" allowOverlap="1" wp14:anchorId="4C4B3F2F" wp14:editId="64A09E35">
            <wp:simplePos x="0" y="0"/>
            <wp:positionH relativeFrom="column">
              <wp:posOffset>0</wp:posOffset>
            </wp:positionH>
            <wp:positionV relativeFrom="paragraph">
              <wp:posOffset>508000</wp:posOffset>
            </wp:positionV>
            <wp:extent cx="2306955" cy="3429000"/>
            <wp:effectExtent l="0" t="0" r="0"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 estudiantes trabjadores ninis España 2006.pdf"/>
                    <pic:cNvPicPr/>
                  </pic:nvPicPr>
                  <pic:blipFill rotWithShape="1">
                    <a:blip r:embed="rId67">
                      <a:extLst>
                        <a:ext uri="{28A0092B-C50C-407E-A947-70E740481C1C}">
                          <a14:useLocalDpi xmlns:a14="http://schemas.microsoft.com/office/drawing/2010/main" val="0"/>
                        </a:ext>
                      </a:extLst>
                    </a:blip>
                    <a:srcRect l="11985" t="7722" r="41331" b="38654"/>
                    <a:stretch/>
                  </pic:blipFill>
                  <pic:spPr bwMode="auto">
                    <a:xfrm>
                      <a:off x="0" y="0"/>
                      <a:ext cx="2306955" cy="3429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D6A09" w:rsidRPr="005D529F">
        <w:rPr>
          <w:rFonts w:cs="Times New Roman"/>
        </w:rPr>
        <w:t>El Gráfico 8.2 muestra la distribución de los jóvenes españoles en 2006, según situación de actividad y cohortes de edad. Una somera observación del gráfico convencerá a cualquier lector que hablar de la juventud, en general, implica hablar de realidades sociales y personales muy diferentes que tienen pocos rasgos  en común. Así, cuatro de cada cinco jóvenes de quince a dieciocho años estudia, y tan solo uno de ellos trabaja. Entre los diecinueve y los veintiún años, los jóvenes se distribuyen aproximadamente a partes iguales entre estudiantes y trabajadores. Sin embargo, a partir los veintidós años, tan solo una minoría permanece estudiando. En este gráfico también podemos ver que el porcentaje de “ninis” crece progresivamente, aunque de forma moderada,  conforme aumenta la edad. En 2006, el porcentaje de ninis entre jóvenes españoles de 19-21 años era el 9,5%; entre los de 22-24, el 12,3%; entre los 25-29, el 13,6%; entre los de 30-34, el 17,0%; y entre los de 35-40 años, el 19,1%.</w:t>
      </w:r>
    </w:p>
    <w:p w14:paraId="2AD8025C" w14:textId="65CD296A" w:rsidR="0000205E" w:rsidRDefault="008D6A09" w:rsidP="005D529F">
      <w:pPr>
        <w:rPr>
          <w:rFonts w:cs="Times New Roman"/>
        </w:rPr>
      </w:pPr>
      <w:r w:rsidRPr="005D529F">
        <w:rPr>
          <w:rFonts w:cs="Times New Roman"/>
        </w:rPr>
        <w:t xml:space="preserve">Podríamos pensar que la estructura de situaciones de actividad representada en el Gráfico 8.2 es una estructura “normal” o “natural”. El problema es que todas las realidades sociales son históricas y, en esa misma medida, no existen realidades sociales que podamos considerar normales o naturales. Todas son un producto histórico que debe su configuración y su sentido a un complejo conjunto de circunstancias, unas que hunden sus raíces en el pasado, otras que operan en el momento presente, y aún otras que están condicionadas por las expectativas de futuro. Así, comparando el Grafico 8.2 con el Gráfico 8.3, se constata el gran cambio de situación que ha experimentado la juventud española en el </w:t>
      </w:r>
      <w:r w:rsidRPr="005D529F">
        <w:rPr>
          <w:rFonts w:cs="Times New Roman"/>
        </w:rPr>
        <w:lastRenderedPageBreak/>
        <w:t>transcurso de tan solo seis años. Un primer hecho destacable y fundamental es el enorme incremento experimentado por el número de estudiantes. Entre los jóvenes de 19</w:t>
      </w:r>
      <w:r w:rsidRPr="005D529F">
        <w:rPr>
          <w:rFonts w:cs="Times New Roman"/>
        </w:rPr>
        <w:noBreakHyphen/>
        <w:t>21 años, el porcentaje sube desde el 47,1% en 2006, al 71,5% en 2012. Entre los jóvenes de 22-24 años, el cambio es todavía más espectacular, pues el porcentaje asciende desde el 13,4% al 51,6%. Esto introduce un cambio radical en las condiciones de existencia de los jóvenes españoles, pues ahora el estudio se convierte en la única opción vital de la juventud. La drástica reducción de sus oportunidades de empleo les obliga a prolongar su situación de estudiantes, posponiendo la salida del sistema educativo, y reduciendo el abandono escolar temprano.</w:t>
      </w:r>
    </w:p>
    <w:p w14:paraId="004C4492" w14:textId="77777777" w:rsidR="0000205E" w:rsidRDefault="008D6A09" w:rsidP="005D529F">
      <w:pPr>
        <w:rPr>
          <w:rFonts w:cs="Times New Roman"/>
        </w:rPr>
      </w:pPr>
      <w:r w:rsidRPr="005D529F">
        <w:rPr>
          <w:rFonts w:cs="Times New Roman"/>
        </w:rPr>
        <w:t>Como consecuencia de la brutal contracción del empleo juvenil, muy evidente si comparamos la altura que tienen las barras de “trabajadores” en los gráficos de 2006 y 2012, así como de la incapacidad del sistema educativo para integrar una mayor cantidad de jóvenes, el número de jóvenes que ni estudian ni trabajan (“ninis”) experimenta un gran incremento. Para ser consciente del cambio, basta comparar los porcentajes de ninis de 2006, ofrecidos anteriormente, con los de 2012. El porcentaje de ninis entre jóvenes 19-21 años asciende al 16,2%; entre los de 22-24, al 23,0%; entre los 25-29, al 37,8%; entre los de 30-34, al 37,1%; y entre los de 35-40 años, al 30,5%. En suma, los porcentajes de ninis en España, entre 2006 y 2012, se duplican, e incluso en alguna cohorte, como en los jóvenes de edades comprendidas en 25 y 29 años, llega a triplicarse. En el conjunto de jóvenes de 15 a 29 años, el porcentaje de ninis pasa del 9,7%, al 22,8%.</w:t>
      </w:r>
    </w:p>
    <w:p w14:paraId="5FE2F46F" w14:textId="77777777" w:rsidR="0000205E" w:rsidRDefault="008D6A09" w:rsidP="005D529F">
      <w:pPr>
        <w:rPr>
          <w:rFonts w:cs="Times New Roman"/>
        </w:rPr>
      </w:pPr>
      <w:r w:rsidRPr="005D529F">
        <w:rPr>
          <w:rFonts w:cs="Times New Roman"/>
        </w:rPr>
        <w:t>Este gran cambio pone de manifiesto la transformación experimentada por el sentido social y personal asociado con la figura del “nini”. En 2006, los ninis eran jóvenes que, pudiendo estar integrados socialmente, bien en el sistema educativo, bien en el mercado de trabajo, rechazaban tanto estudiar como trabajar, esto es, “ni” querían estudiar, “ni” querían trabajar. Este fenómeno era la expresión, en la estructura afectiva de unos jóvenes insertos en el marco de una sociedad de la abundancia, de un nihilismo existencial que rechazaba todas las opciones vitales que se le presentaban en tanto opciones carentes de sentido, provinieran tanto del sistema educativo como del mundo laboral. La existencia de jóvenes ninis constituía un problema social, no tanto porque afectara a una gran proporción de jóvenes, sino porque era síntoma de la incapacidad para integrar social y culturalmente, para dotar de pleno sentido, a una juventud cuya maduración era postergada indefinidamente.</w:t>
      </w:r>
    </w:p>
    <w:p w14:paraId="2F76F7EC" w14:textId="1FCE5A38" w:rsidR="0000205E" w:rsidRDefault="008D6A09" w:rsidP="005D529F">
      <w:pPr>
        <w:rPr>
          <w:rFonts w:cs="Times New Roman"/>
        </w:rPr>
      </w:pPr>
      <w:r w:rsidRPr="005D529F">
        <w:rPr>
          <w:rFonts w:cs="Times New Roman"/>
        </w:rPr>
        <w:t xml:space="preserve">Ahora bien, pese a su similitud “estadística”, constituiría un craso error confundir los ninis del pasado con los del presente. Los ninis de hoy no son jóvenes que rechacen las oportunidades educativas o laborales. Antes al contrario, son jóvenes “sin” oportunidades educativas y “sin” oportunidades laborales, jóvenes que no encuentran en esta sociedad la manera de realizar sus proyectos en el presente, y que ni siquiera  pueden imaginar o soñar que podrán realizarlos en algún futuro. Por este motivo, y para no confundir dos fenómenos sociales tan distintos, uno de carácter subjetivo y cultural, otro objetivo y estructural, los actuales jóvenes “nini” deberían ser denominados jóvenes  “sinsin”. Además, la edad media de los actuales sinsin sigue subiendo porque año tras </w:t>
      </w:r>
      <w:r w:rsidRPr="005D529F">
        <w:rPr>
          <w:rFonts w:cs="Times New Roman"/>
        </w:rPr>
        <w:lastRenderedPageBreak/>
        <w:t>año se acumulan los contingentes que salen o abandonan el sistema escolar y educativo sin, por otra parte, poder encontrar acomodo en el mercado de trabajo. De ahí que, en 2012, las cohortes de 25 a 29 y de 30 a 34 sean las más afectadas por este fenómeno, que alcanza, respectivamente, según hemos indicado ya, nada menos que al 37,8% y al 37,1% de las citadas cohortes. Estos datos demuestran que la madurez eternamente postergada de la juventud va necesariamente elevando el umbral de la inmadurez social que, en la actualidad, podríamos fijar ya, a juzgar por la información que nos ofrece el Grafico 8.3., en los 35 años. En suma, el período de la juventud en el que se manifiestan y se concentran las tensiones emocionales que produce en los jóvenes una sociedad incapaz de ofrecerles las condiciones adecuadas para su maduración social, es el que va desde los 25 a los 34 años, período que constituye el horizonte vital al que se ve abocada toda la juventud,  y en el que se expresa con toda su crudeza tanto la situación objetiva como subjetiva de los jóvenes “sinsin”.</w:t>
      </w:r>
    </w:p>
    <w:p w14:paraId="0385BABF" w14:textId="77777777" w:rsidR="0000205E" w:rsidRDefault="008D6A09" w:rsidP="009E6344">
      <w:pPr>
        <w:pStyle w:val="Ttulo3"/>
      </w:pPr>
      <w:bookmarkStart w:id="130" w:name="_Toc311991832"/>
      <w:bookmarkStart w:id="131" w:name="_Toc311993061"/>
      <w:r w:rsidRPr="005D529F">
        <w:t>La felicidad de los jóvenes y el sentido vital</w:t>
      </w:r>
      <w:bookmarkEnd w:id="130"/>
      <w:bookmarkEnd w:id="131"/>
    </w:p>
    <w:p w14:paraId="5DA5925B" w14:textId="77777777" w:rsidR="0000205E" w:rsidRDefault="008D6A09" w:rsidP="005D529F">
      <w:pPr>
        <w:rPr>
          <w:rFonts w:cs="Times New Roman"/>
        </w:rPr>
      </w:pPr>
      <w:r w:rsidRPr="005D529F">
        <w:rPr>
          <w:rFonts w:cs="Times New Roman"/>
        </w:rPr>
        <w:t>La Tabla 8.7 ofrece los datos del bienestar emocional de los jóvenes europeos que estudian, que trabajan, o que ni estudian ni trabajan. Así comprobamos que el grado de felicidad de los jóvenes estudiantes y trabajadores de 15 a 29 años es idéntico (10,5 y 10,4), mientras que el de los nini (</w:t>
      </w:r>
      <w:r w:rsidRPr="005D529F">
        <w:rPr>
          <w:rFonts w:cs="Times New Roman"/>
        </w:rPr>
        <w:noBreakHyphen/>
        <w:t>2,4) desciende, con respecto a ellos, 13 puntos en la escala IBSE. Esto es, la exclusión social que sufren estos jóvenes desempleados (Hammer, 2003), conlleva también una clara exclusión emocional.</w:t>
      </w:r>
    </w:p>
    <w:p w14:paraId="1894C277" w14:textId="77777777" w:rsidR="0000205E" w:rsidRDefault="008D6A09" w:rsidP="005D529F">
      <w:pPr>
        <w:rPr>
          <w:rFonts w:cs="Times New Roman"/>
        </w:rPr>
      </w:pPr>
      <w:r w:rsidRPr="005D529F">
        <w:rPr>
          <w:noProof/>
          <w:lang w:val="es-ES"/>
        </w:rPr>
        <w:drawing>
          <wp:anchor distT="0" distB="0" distL="114300" distR="114300" simplePos="0" relativeHeight="251716608" behindDoc="0" locked="0" layoutInCell="1" allowOverlap="1" wp14:anchorId="7B03F2A7" wp14:editId="25814FA3">
            <wp:simplePos x="0" y="0"/>
            <wp:positionH relativeFrom="column">
              <wp:posOffset>0</wp:posOffset>
            </wp:positionH>
            <wp:positionV relativeFrom="paragraph">
              <wp:posOffset>596900</wp:posOffset>
            </wp:positionV>
            <wp:extent cx="2306320" cy="2400300"/>
            <wp:effectExtent l="0" t="0" r="0" b="0"/>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8.7.pdf"/>
                    <pic:cNvPicPr/>
                  </pic:nvPicPr>
                  <pic:blipFill rotWithShape="1">
                    <a:blip r:embed="rId68">
                      <a:extLst>
                        <a:ext uri="{28A0092B-C50C-407E-A947-70E740481C1C}">
                          <a14:useLocalDpi xmlns:a14="http://schemas.microsoft.com/office/drawing/2010/main" val="0"/>
                        </a:ext>
                      </a:extLst>
                    </a:blip>
                    <a:srcRect l="13350" t="7072" r="49789" b="65823"/>
                    <a:stretch/>
                  </pic:blipFill>
                  <pic:spPr bwMode="auto">
                    <a:xfrm>
                      <a:off x="0" y="0"/>
                      <a:ext cx="2306320" cy="24003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D529F">
        <w:rPr>
          <w:rFonts w:cs="Times New Roman"/>
        </w:rPr>
        <w:t>Además de esta idea general, los datos de la tabla nos ofrecen otros tres resultados importantes. En primer lugar, vemos que entre los jóvenes con edades comprendidas entre 15 y 18 años, el bienestar emocional de los trabajadores (16,2) es bastante mayor que el de los estudiantes (10,4). Al parecer, los beneficios y contraprestaciones que recibe en tiempo presente un joven trabajador, le otorgan mayor grado de felicidad que las expectativas de futuro que pueda albergar un joven estudiante. Y quizás fue este diferencial de bienestar subjetivo el que pudo estar alentando, en los años de bonanza económica, el abandono escolar de muchos jóvenes. En segundo lugar, comprobamos que el grado de felicidad de los jóvenes trabajadores y estudiantes en el resto de las cohortes de edad es, con algunas variaciones, bastante parecido. Es decir, existe indiferencia en el nivel de bienestar emocional entre la situación del joven estudiante y la del joven trabajador. En tercer lugar, comprobamos que el diferencial de felicidad existente entre los jóvenes sinsin y los jóvenes trabajadores avanza conforme aumenta la edad, siendo superior a 15 puntos de la escala IBSE a partir de los 25 años de edad.</w:t>
      </w:r>
    </w:p>
    <w:p w14:paraId="5C6160D2" w14:textId="77777777" w:rsidR="0000205E" w:rsidRDefault="008D6A09" w:rsidP="005D529F">
      <w:pPr>
        <w:rPr>
          <w:rFonts w:cs="Times New Roman"/>
        </w:rPr>
      </w:pPr>
      <w:r w:rsidRPr="005D529F">
        <w:rPr>
          <w:rFonts w:cs="Times New Roman"/>
        </w:rPr>
        <w:lastRenderedPageBreak/>
        <w:t>Dado que tanto los jóvenes “nini”, como los jóvenes “sinsi”, comparten, aunque sea por distintas razones, una posible carencia de sentido vital, con los datos incluidos en la Tabla 8.8 hemos tratado de ver hasta qué punto la falta de sentido en los jóvenes determina sus niveles de felicidad. Para ello, hemos seleccionado jóvenes que han mostrado carencias de sentido vital, bien porque creen que lo que hacen es poco útil (falta de sentido), bien porque declaran un bajo nivel de realización personal (falta de logro). En suma, se han seleccionado los estudiantes, trabajadores y ninis que respondieron estar “en desacuerdo” o “muy en desacuerdo” con las dos siguientes afirmaciones: a) “Generalmente pienso que lo que hago en la vida es provechoso y útil para los demás”, y b) “La mayor parte de los días siento que he logrado lo que me había propuesto”.</w:t>
      </w:r>
    </w:p>
    <w:p w14:paraId="1BB461C4" w14:textId="77777777" w:rsidR="0000205E" w:rsidRDefault="008D6A09" w:rsidP="005D529F">
      <w:pPr>
        <w:rPr>
          <w:rFonts w:cs="Times New Roman"/>
        </w:rPr>
      </w:pPr>
      <w:r w:rsidRPr="005D529F">
        <w:rPr>
          <w:noProof/>
          <w:lang w:val="es-ES"/>
        </w:rPr>
        <w:drawing>
          <wp:anchor distT="0" distB="0" distL="114300" distR="114300" simplePos="0" relativeHeight="251717632" behindDoc="0" locked="0" layoutInCell="1" allowOverlap="1" wp14:anchorId="278650B7" wp14:editId="4F3A84FA">
            <wp:simplePos x="0" y="0"/>
            <wp:positionH relativeFrom="column">
              <wp:posOffset>0</wp:posOffset>
            </wp:positionH>
            <wp:positionV relativeFrom="paragraph">
              <wp:posOffset>1231900</wp:posOffset>
            </wp:positionV>
            <wp:extent cx="2515235" cy="2980055"/>
            <wp:effectExtent l="0" t="0" r="0" b="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8.8.pdf"/>
                    <pic:cNvPicPr/>
                  </pic:nvPicPr>
                  <pic:blipFill rotWithShape="1">
                    <a:blip r:embed="rId69">
                      <a:extLst>
                        <a:ext uri="{28A0092B-C50C-407E-A947-70E740481C1C}">
                          <a14:useLocalDpi xmlns:a14="http://schemas.microsoft.com/office/drawing/2010/main" val="0"/>
                        </a:ext>
                      </a:extLst>
                    </a:blip>
                    <a:srcRect l="13350" t="8012" r="49789" b="61122"/>
                    <a:stretch/>
                  </pic:blipFill>
                  <pic:spPr bwMode="auto">
                    <a:xfrm>
                      <a:off x="0" y="0"/>
                      <a:ext cx="2515235" cy="29800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D529F">
        <w:rPr>
          <w:rFonts w:cs="Times New Roman"/>
        </w:rPr>
        <w:t xml:space="preserve">Comparando los datos de las Tablas 8.7 y 8.8, se demuestra sin ningún género de dudas el impacto que, entre los jóvenes de 15 a 29 años, tiene la falta de sentido en su bienestar emocional. El bienestar de los jóvenes trabajadores que no sienten estar haciendo algo valioso y socialmente útil pasa del 10,4 al </w:t>
      </w:r>
      <w:r w:rsidRPr="005D529F">
        <w:rPr>
          <w:rFonts w:cs="Times New Roman"/>
        </w:rPr>
        <w:noBreakHyphen/>
        <w:t xml:space="preserve">9,9, esto es, desciende 20,3 puntos en la escala IBSE. En el caso de los jóvenes estudiantes, el impacto de la falta de sentido es todavía mayor, pues su bienestar pasa de 10,5 a </w:t>
      </w:r>
      <w:r w:rsidRPr="005D529F">
        <w:rPr>
          <w:rFonts w:cs="Times New Roman"/>
        </w:rPr>
        <w:noBreakHyphen/>
        <w:t xml:space="preserve">20,2, descendiendo 30,7 puntos en el índice de bienestar socioemocional. Estos datos muestran que la actividad educativa, en sí misma, contiene mayor riesgo de pérdida de sentido, y un potencial impacto negativo sobre la felicidad del joven mayor que en el caso de la actividad laboral. Es decir, cuando el estudio no es capaz de ofrecer  al joven una carga suficiente de sentido, resulta ser emocionalmente una actividad mucho más insatisfactoria que el trabajo. Y esto comporta, evidentemente, un grave problema tanto educativo como social. A diferencia de los estudiantes, los jóvenes trabajadores, aún en el caso de que no le encuentren mucho sentido al trabajo, parecen reciben algunas otras contraprestaciones que les compensan emocionalmente. Por último, en el caso de los jóvenes que no trabajan y que no estudian, sean nini o sinsin, los datos no dejan lugar a dudas. Estos jóvenes pasan de un valor de </w:t>
      </w:r>
      <w:r w:rsidRPr="005D529F">
        <w:rPr>
          <w:rFonts w:cs="Times New Roman"/>
        </w:rPr>
        <w:noBreakHyphen/>
        <w:t xml:space="preserve">2,4 a uno de </w:t>
      </w:r>
      <w:r w:rsidRPr="005D529F">
        <w:rPr>
          <w:rFonts w:cs="Times New Roman"/>
        </w:rPr>
        <w:noBreakHyphen/>
        <w:t>40,3, es decir, que su nivel de felicidad desciende 37,9 puntos, lo que da cuenta del fortísimo impacto emocional que tiene la falta subjetiva de sentido en aquellos jóvenes que tienen ya, objetivamente hablando, una falta de sentido o vacío funcional.</w:t>
      </w:r>
    </w:p>
    <w:p w14:paraId="03F3D0E7" w14:textId="77777777" w:rsidR="0000205E" w:rsidRDefault="008D6A09" w:rsidP="005D529F">
      <w:pPr>
        <w:rPr>
          <w:rFonts w:cs="Times New Roman"/>
        </w:rPr>
      </w:pPr>
      <w:r w:rsidRPr="005D529F">
        <w:rPr>
          <w:rFonts w:cs="Times New Roman"/>
        </w:rPr>
        <w:t xml:space="preserve">En la parte inferior de esa misma tabla se incluye la información correspondiente al sentimiento de frustración vital o falta de logro. La pauta general que nos muestran los datos es similar a la descrita para la falta de sentido, aunque con dos matices reseñables. </w:t>
      </w:r>
      <w:r w:rsidRPr="005D529F">
        <w:rPr>
          <w:rFonts w:cs="Times New Roman"/>
        </w:rPr>
        <w:lastRenderedPageBreak/>
        <w:t>Entre los estudiantes, el sentimiento de no ser capaz de alcanzar los objetivos que el joven se propone tiene un impacto todavía mayor sobre el bienestar emocional que la mera falta de sentido. Dicho de otro manera, esta información muestra el gran impacto que tiene en el bienestar emocional de los jóvenes el fracaso escolar. Por otra parte, en la estructura afectiva de los jóvenes trabajadores de 15-29 años, la carencia de realización o de logro vital (</w:t>
      </w:r>
      <w:r w:rsidRPr="005D529F">
        <w:rPr>
          <w:rFonts w:cs="Times New Roman"/>
        </w:rPr>
        <w:noBreakHyphen/>
        <w:t>24,2) tiene una relevancia socioemocional mucho mayor que la mera carencia de sentido (</w:t>
      </w:r>
      <w:r w:rsidRPr="005D529F">
        <w:rPr>
          <w:rFonts w:cs="Times New Roman"/>
        </w:rPr>
        <w:noBreakHyphen/>
        <w:t>9,9). En cualquier caso, es evidente que la falta de sentido y de logro vital que experimentan los jóvenes condicionan intensamente su grado de felicidad.</w:t>
      </w:r>
    </w:p>
    <w:p w14:paraId="4D64A4F3" w14:textId="77777777" w:rsidR="0000205E" w:rsidRDefault="008D6A09" w:rsidP="005D529F">
      <w:pPr>
        <w:rPr>
          <w:rFonts w:cs="Times New Roman"/>
        </w:rPr>
      </w:pPr>
      <w:r w:rsidRPr="005D529F">
        <w:rPr>
          <w:rFonts w:cs="Times New Roman"/>
        </w:rPr>
        <w:t>En los datos de la Tabla 8.8 también podemos ver que el impacto que tienen las carencias de sentido y de logro sobre el bienestar emocional de los jóvenes se intensifica con la edad. El valor del IBSE entre los jóvenes nini de 25</w:t>
      </w:r>
      <w:r w:rsidRPr="005D529F">
        <w:rPr>
          <w:rFonts w:cs="Times New Roman"/>
        </w:rPr>
        <w:noBreakHyphen/>
        <w:t xml:space="preserve">29 años que no perciben que su actividad tenga valor o utilidad social desciende hasta el </w:t>
      </w:r>
      <w:r w:rsidRPr="005D529F">
        <w:rPr>
          <w:rFonts w:cs="Times New Roman"/>
        </w:rPr>
        <w:noBreakHyphen/>
        <w:t>45,2; pero si la persona tiene 30</w:t>
      </w:r>
      <w:r w:rsidRPr="005D529F">
        <w:rPr>
          <w:rFonts w:cs="Times New Roman"/>
        </w:rPr>
        <w:noBreakHyphen/>
        <w:t xml:space="preserve">34 años, el índice aún descenderá más, llegando al </w:t>
      </w:r>
      <w:r w:rsidRPr="005D529F">
        <w:rPr>
          <w:rFonts w:cs="Times New Roman"/>
        </w:rPr>
        <w:noBreakHyphen/>
        <w:t>56,2; y si tiene 35</w:t>
      </w:r>
      <w:r w:rsidRPr="005D529F">
        <w:rPr>
          <w:rFonts w:cs="Times New Roman"/>
        </w:rPr>
        <w:noBreakHyphen/>
        <w:t xml:space="preserve">39 años, su estructura afectiva se sumergirá en el sufrimiento y en pura infelicidad, llegando a descender hasta el valor </w:t>
      </w:r>
      <w:r w:rsidRPr="005D529F">
        <w:rPr>
          <w:rFonts w:cs="Times New Roman"/>
        </w:rPr>
        <w:noBreakHyphen/>
        <w:t xml:space="preserve">74,2. Sin duda alguna, estos jóvenes “nini”, que son al mismo tiempo jóvenes “sinsin”, vacíos tanto de funcionalidad como de sentido, y producto de la indefinida postergación de la madurez a la que les condena el propio sistema social, también forman parte de los excluidos de la felicidad. Este es, precisamente, el sombrío horizonte emocional que el joven espera encontrarse al inicio de la etapa en que, supuestamente, debería acceder a la madurez. </w:t>
      </w:r>
    </w:p>
    <w:p w14:paraId="63E7275B" w14:textId="789F7C78" w:rsidR="008D6A09" w:rsidRDefault="009E6344" w:rsidP="005D529F">
      <w:pPr>
        <w:rPr>
          <w:rFonts w:cs="Times New Roman"/>
        </w:rPr>
      </w:pPr>
      <w:r w:rsidRPr="005D529F">
        <w:rPr>
          <w:noProof/>
          <w:lang w:val="es-ES"/>
        </w:rPr>
        <w:drawing>
          <wp:anchor distT="0" distB="0" distL="114300" distR="114300" simplePos="0" relativeHeight="251718656" behindDoc="0" locked="0" layoutInCell="1" allowOverlap="1" wp14:anchorId="4F14797A" wp14:editId="7463A863">
            <wp:simplePos x="0" y="0"/>
            <wp:positionH relativeFrom="column">
              <wp:posOffset>0</wp:posOffset>
            </wp:positionH>
            <wp:positionV relativeFrom="paragraph">
              <wp:posOffset>673100</wp:posOffset>
            </wp:positionV>
            <wp:extent cx="2171700" cy="2891790"/>
            <wp:effectExtent l="0" t="0" r="0"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8.9.pdf"/>
                    <pic:cNvPicPr/>
                  </pic:nvPicPr>
                  <pic:blipFill rotWithShape="1">
                    <a:blip r:embed="rId70">
                      <a:extLst>
                        <a:ext uri="{28A0092B-C50C-407E-A947-70E740481C1C}">
                          <a14:useLocalDpi xmlns:a14="http://schemas.microsoft.com/office/drawing/2010/main" val="0"/>
                        </a:ext>
                      </a:extLst>
                    </a:blip>
                    <a:srcRect l="13348" t="7070" r="55777" b="63864"/>
                    <a:stretch/>
                  </pic:blipFill>
                  <pic:spPr bwMode="auto">
                    <a:xfrm>
                      <a:off x="0" y="0"/>
                      <a:ext cx="2171700" cy="28917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D6A09" w:rsidRPr="005D529F">
        <w:rPr>
          <w:rFonts w:cs="Times New Roman"/>
        </w:rPr>
        <w:t xml:space="preserve">Por último, para cerrar con una imagen clara y precisa el debate abierto al inicio de este apartado, la Tabla 8.9 ofrece la distribución porcentual de jóvenes, tanto españoles como europeos, según nuestra tipología de felicidad. Aquí comprobamos que, en efecto, tan solo un pequeño porcentaje de jóvenes españoles (3,0%) y europeos (4,7%) declaran sentirse infelices. ¿Quiere esto decir que todos los jóvenes responderán a la pregunta “¿qué tal estás?” de la misma manera, esto es, diciendo sencillamente “bien”? Veamos los datos. Pese a la propensión a la felicidad que atribuimos en general a la juventud, lo cierto es que tan solo dos de cada diez jóvenes españoles dicen sentirse felices (18,5%): estos responderían a la pregunta diciendo que se encuentran “estupendamente bien”. Tres de cada diez, esto es, los jóvenes españoles que están “contentos” (30,9%), contestarían convencidos diciendo que están “muy bien”. Entre los jóvenes españoles “satisfechos” (38,3%), a buen seguro que algunos responderían señalando, sin ningún género de duda, que se encuentran “bien”. Pero probablemente otros quizás respondan con un “bien” menos enérgico, con un dubitativo y apenas audible “bueno”, o incluso con un juvenilmente vergonzante “estoy regular”. Ahora bien, a tenor de las propias </w:t>
      </w:r>
      <w:r w:rsidR="008D6A09" w:rsidRPr="005D529F">
        <w:rPr>
          <w:rFonts w:cs="Times New Roman"/>
        </w:rPr>
        <w:lastRenderedPageBreak/>
        <w:t>respuestas que han dado los jóvenes, no solo a una única cuestión, sino a las nueve preguntas sobre estados emocionales que forman parte del Índice de Bienestar Socioemocional (IBSE), no cabe la menor duda que al menos el 12,3% de los jóvenes españoles, y el 15,6% de los europeos, es decir, los jóvenes “insatisfechos” e “infelices”, en ningún caso responderían a la pregunta diciendo: “estoy bien”. Este 12,3% implica que, en 2012, hay casi un millón de jóvenes españoles de entre 15 y 29 años, exactamente 928.189, que pese a ser jóvenes no parecen estar muy felices.</w:t>
      </w:r>
    </w:p>
    <w:p w14:paraId="64B25AF2" w14:textId="77777777" w:rsidR="00686690" w:rsidRDefault="00686690" w:rsidP="005D529F">
      <w:pPr>
        <w:rPr>
          <w:rFonts w:cs="Times New Roman"/>
        </w:rPr>
      </w:pPr>
    </w:p>
    <w:p w14:paraId="7500F199" w14:textId="77777777" w:rsidR="00686690" w:rsidRDefault="00686690" w:rsidP="005D529F">
      <w:pPr>
        <w:rPr>
          <w:rFonts w:cs="Times New Roman"/>
        </w:rPr>
        <w:sectPr w:rsidR="00686690" w:rsidSect="008E2488">
          <w:headerReference w:type="default" r:id="rId71"/>
          <w:pgSz w:w="11900" w:h="16840"/>
          <w:pgMar w:top="2041" w:right="1814" w:bottom="1758" w:left="1814" w:header="709" w:footer="709" w:gutter="0"/>
          <w:pgNumType w:start="118"/>
          <w:cols w:space="708"/>
          <w:titlePg/>
          <w:docGrid w:linePitch="360"/>
        </w:sectPr>
      </w:pPr>
    </w:p>
    <w:p w14:paraId="71BEE286" w14:textId="1C918C79" w:rsidR="0000205E" w:rsidRDefault="00686690" w:rsidP="00686690">
      <w:pPr>
        <w:pStyle w:val="Ttulo1"/>
      </w:pPr>
      <w:bookmarkStart w:id="132" w:name="_Toc311991833"/>
      <w:bookmarkStart w:id="133" w:name="_Toc311993062"/>
      <w:bookmarkStart w:id="134" w:name="_Toc311998421"/>
      <w:r>
        <w:lastRenderedPageBreak/>
        <w:t>Conclusiones</w:t>
      </w:r>
      <w:bookmarkEnd w:id="132"/>
      <w:bookmarkEnd w:id="133"/>
      <w:bookmarkEnd w:id="134"/>
    </w:p>
    <w:p w14:paraId="02C77287" w14:textId="77777777" w:rsidR="0000205E" w:rsidRDefault="005A5B18" w:rsidP="005D529F">
      <w:pPr>
        <w:rPr>
          <w:rFonts w:cs="Times New Roman"/>
        </w:rPr>
      </w:pPr>
      <w:r w:rsidRPr="005D529F">
        <w:rPr>
          <w:rFonts w:cs="Times New Roman"/>
        </w:rPr>
        <w:t>Al inicio del libro, una vez expuestas en el capítulo uno algunas ideas sobre la felicidad, nos preguntábamos si sería posible medir mediante una encuesta el grado en que las personas eran o no eran felices. Con este fin adoptamos una perspectiva hedonista y pragmática y, lejos de entender la felicidad como un estado sublime del alma humana, seguimos los pasos de Demócrito considerando, en primer término, que el bienestar emocional estaría muy relacionado con el buen ánimo y, en segundo término, que el buen ánimo de las personas se sustentaría en una determinada estructura afectiva. Partiendo del supuesto de que la inmensa mayoría de nuestros sentimientos y emociones están íntimamente ligados a los otros, es decir, que emergen en el contexto de nuestras interacciones sociales, utilizamos dos teorías sociológicas para seleccionar tanto las dimensiones básicas de la felicidad, como los estados emocionales que podrían conformar su estructura afectiva. A partir de aquí diseñamos y elaboramos un índice compuesto, al que denominamos Índice de Bienestar Socioemocional (IBSE), para medir el nivel de felicidad de las personas según algunos rasgos característicos de su situación vital o social. Así, a lo largo del libro, hemos estimado el bienestar o malestar emocional de muchos españoles, de los jóvenes y de los mayores, de las mujeres y de los hombres, de los sanos y de los enfermos, de los ocupados y de los desempleados, de los nativos y de los inmigrantes, de los ricos y de los pobres, de los que son respetados por los demás y de los que no, de los que ocupan posiciones sociales altas y bajas, o de las personas casadas, de las divorciadas y de las viudas. Creo que tras el análisis y la comprensión de los valores de todas estas estimaciones, podemos llegar a la conclusión de que se puede medir la felicidad. Asumiendo que la felicidad de las personas constituye una valoración emocional compleja que, en palabras de Emilio Lledó, emerge de un permanente estado de vigilia en el que, a distintos niveles de conciencia, se plantea la necesidad de una correspondencia entre la posibilidad y la realidad, creemos que ninguna de las estimaciones cuantitativas obtenidas mediante la aplicación del Índice de Bienestar Socioemocional ha resultado ser arbitraria, extraña, absurda, incomprensible o inexplicable. Por tanto, del mismo modo que los trabajos de Diener y Veenhoven lograron convencerme de que una ciencia social de la felicidad era posible, así yo también espero que este trabajo haya convencido a los lectores que la felicidad de las personas puede medirse.</w:t>
      </w:r>
    </w:p>
    <w:p w14:paraId="5375EBC7" w14:textId="77777777" w:rsidR="0000205E" w:rsidRDefault="005A5B18" w:rsidP="005D529F">
      <w:pPr>
        <w:rPr>
          <w:rFonts w:cs="Times New Roman"/>
        </w:rPr>
      </w:pPr>
      <w:r w:rsidRPr="005D529F">
        <w:rPr>
          <w:rFonts w:cs="Times New Roman"/>
        </w:rPr>
        <w:t xml:space="preserve">En las sociedades avanzadas, las creencias que dominan y ocupan el centro de la escena cultural acerca del logro y de la conquista de la felicidad son estrictamente voluntaristas e individualistas. Según comentábamos en la introducción, cada uno es responsable de su propia felicidad, debiendo por tanto gestionar su vida y sus sentimientos, con los medios y terapias a su alcance, para evitar en lo posible el sufrimiento y el malestar emocional. Según estas creencias, que siempre incorporan explícita o implícitamente un cierto </w:t>
      </w:r>
      <w:r w:rsidRPr="005D529F">
        <w:rPr>
          <w:rFonts w:cs="Times New Roman"/>
        </w:rPr>
        <w:lastRenderedPageBreak/>
        <w:t>fatalismo social, la felicidad depende en esencia de los rasgos del carácter o de la personalidad. Sin embargo, tras mostrar todas las estimaciones del nivel de bienestar emocional incluidas en el presente libro, esperamos haber convencido al lector de que la felicidad de cada uno no depende exclusivamente de sí mismo, sino que en gran parte está condicionada por lógicas y procesos sociales que escapan a su voluntad. Hemos visto que la probabilidad que tiene un rico de ser feliz es tres veces superior a la que tiene un pobre. Dicho de otra manera, a una persona pobre, a una que ocupe los últimos peldaños de la escala social, a un joven que no encuentre ningún sentido en su actividad, a un enfermo crónico sin recursos, a una persona mayor que esté realmente sola, o a una mujer que se queda viuda, por señalar  tan solo algunos de los ejemplos vistos a lo largo del libro, le resultará mucho más difícil conquistar la felicidad. El optimismo individualista, que para algunos puede funcionar como motivo de orgullo y acicate personal, opera socialmente como discurso o ideología que legitima el sufrimiento de muchos atribuyéndolo, injustamente, a su incapacidad personal. Así, las personas que sufren pagan un doble precio, pues además de experimentar el malestar de los estados emocionales que fundamentan la meta-emoción de la infelicidad, sufren el daño que provocan las heridas ocultas a las que se referían Sennett y Cobb, es decir, el dolor de la vergüenza que sienten por no ser capaces de alcanzar la felicidad. En suma, el vigente discurso social de la felicidad no se corresponde en absoluto con la verdadera distribución social de la felicidad.</w:t>
      </w:r>
    </w:p>
    <w:p w14:paraId="3A516779" w14:textId="77777777" w:rsidR="0000205E" w:rsidRDefault="005A5B18" w:rsidP="005D529F">
      <w:pPr>
        <w:rPr>
          <w:rFonts w:cs="Times New Roman"/>
        </w:rPr>
      </w:pPr>
      <w:r w:rsidRPr="005D529F">
        <w:rPr>
          <w:rFonts w:cs="Times New Roman"/>
        </w:rPr>
        <w:t>Como vimos en el capítulo cuarto, y después a lo largo de todo el libro, hay personas que viven muy felices y contentas, disfrutando de la vida, animadas, tranquilas y orgullosas de sí mismas, mientras que otras, por el contrario, están radicalmente excluidas de la felicidad. El análisis de la estratificación social del bienestar emocional desarrollado a lo largo de las páginas de este libro nos ha mostrado que en España, como asimismo en Europa, muchas personas viven profundamente tristes, deprimidas, solas, infelices, sin disfrutar de la vida, pesimistas, sin autoestima, desanimadas, fatigadas físicamente o inquietas psicológicamente. Por ello, con el fin tanto de comprender como de orientar la acción social que pueda acometerse para reducir las profundas desigualdades sociales en bienestar emocional que existen en nuestra sociedad, hemos tratado de ofrecer un esbozo de teoría sociológica de la infelicidad integrando las grandes lógicas, factores y procesos sociales que pudieran dar cuenta tanto del sufrimiento experimentado por las personas, como de la desigualdad emocional existente en las sociedades. Esta teoría, todavía provisional, que requiere una verificación empírica ulterior y un mayor desarrollo conceptual, indica que la infelicidad de las personas está condiciona por tres factores: por la cantidad de recursos sociales que tengan a su disposición, especialmente por sus recursos económicos o dinero; por el nivel de estatus social asociado a la posición que ocupe en la estructura social, especialmente por la cantidad de respeto que se le atribuya; y por la relevancia del rol que desempeñe la persona en la sociedad, especialmente por el sentido social de las actividades que habitualmente realice.</w:t>
      </w:r>
    </w:p>
    <w:p w14:paraId="48EE8570" w14:textId="77777777" w:rsidR="0000205E" w:rsidRDefault="005A5B18" w:rsidP="005D529F">
      <w:pPr>
        <w:rPr>
          <w:rFonts w:cs="Times New Roman"/>
        </w:rPr>
      </w:pPr>
      <w:r w:rsidRPr="005D529F">
        <w:rPr>
          <w:rFonts w:cs="Times New Roman"/>
        </w:rPr>
        <w:t xml:space="preserve">Comentadas las tres principales conclusiones que, a nuestro juicio, pueden ser extraídas del presente libro, esto es, que podemos medir la felicidad, que existe una distribución o </w:t>
      </w:r>
      <w:r w:rsidRPr="005D529F">
        <w:rPr>
          <w:rFonts w:cs="Times New Roman"/>
        </w:rPr>
        <w:lastRenderedPageBreak/>
        <w:t>estratificación social del bienestar emocional, y que tal desigualdad emocional puede atribuirse en gran parte, y más allá de la incidencia que pueden tener factores biológicos y/o personales, a causas y procesos sociales, quisiéramos mencionar ahora algunas consecuencias prácticas que estas conclusiones pudieran tener para la investigación y para la gestión futura de nuestras sociedades.</w:t>
      </w:r>
    </w:p>
    <w:p w14:paraId="7339FEC3" w14:textId="77777777" w:rsidR="0000205E" w:rsidRDefault="005A5B18" w:rsidP="005D529F">
      <w:pPr>
        <w:rPr>
          <w:rFonts w:cs="Times New Roman"/>
        </w:rPr>
      </w:pPr>
      <w:r w:rsidRPr="005D529F">
        <w:rPr>
          <w:rFonts w:cs="Times New Roman"/>
        </w:rPr>
        <w:t>En primer lugar, consideramos absolutamente imprescindible incorporar la felicidad, el bienestar emocional o el bienestar subjetivo a cualquier estudio que tenga por objeto medir la calidad de vida de los individuos o la calidad social de las sociedades. Las sociedades actuales no puede seguir siendo evaluadas exclusivamente en términos de la riqueza que producen ni de los ingresos económicos que ponen a disposición de sus miembros, sea individual o colectivamente. ¿Diríamos que una sociedad que incrementa su riqueza pero reduce la felicidad de sus ciudadanos es una sociedad que progresa?</w:t>
      </w:r>
    </w:p>
    <w:p w14:paraId="068841B4" w14:textId="77777777" w:rsidR="0000205E" w:rsidRDefault="005A5B18" w:rsidP="005D529F">
      <w:pPr>
        <w:rPr>
          <w:rFonts w:cs="Times New Roman"/>
        </w:rPr>
      </w:pPr>
      <w:r w:rsidRPr="005D529F">
        <w:rPr>
          <w:rFonts w:cs="Times New Roman"/>
        </w:rPr>
        <w:t>En segundo lugar, consideramos absolutamente imprescindible que la investigación social que se realice en el futuro mediante la técnica de encuesta incluya, más allá de las tradicionales escalas univariables de satisfacción general con la vida o de felicidad, una batería de preguntas sobre estados emocionales que nos permita conocer la estructura afectiva que sustenta la meta-emoción de la felicidad. Uno de los objetivos de este estudio era, precisamente, realizar una validación externa del Índice de Bienestar Socioemocional (IBSE), diseñado teniendo muy en cuenta el principio de parsimonia científica, esto es, tratando de obtener el modelo más preciso con el mínimo número de preguntas sobre estados emocionales. Finalmente, hemos comprobado que basta con incorporar una batería compuesta de ocho, nueve o diez preguntas, como máximo, para poder analizar, posteriormente, tanto la felicidad de las personas como su estructura afectiva básica.</w:t>
      </w:r>
    </w:p>
    <w:p w14:paraId="139C00E2" w14:textId="77777777" w:rsidR="0000205E" w:rsidRDefault="005A5B18" w:rsidP="005D529F">
      <w:pPr>
        <w:rPr>
          <w:rFonts w:cs="Times New Roman"/>
        </w:rPr>
      </w:pPr>
      <w:r w:rsidRPr="005D529F">
        <w:rPr>
          <w:rFonts w:cs="Times New Roman"/>
        </w:rPr>
        <w:t xml:space="preserve">En tercer lugar, si la reducción de la infelicidad, siguiendo el principio de la menor infelicidad para el mayor número, ha de ser considerada, junto con la reducción de la pobreza, como uno de los dos grandes objetivos del progreso de nuestras sociedades, tendremos que incorporar el bienestar subjetivo como un criterio clave en el análisis y evaluación de cualquier política social, bien afecte al plano personal, bien al societario. Toda política social debe estar inspirada tanto en criterios de bienestar objetivo como de bienestar subjetivo, tanto de bienestar material como de bienestar emocional. En algunos ámbitos, como en el de las políticas sanitarias, la incorporación de criterios de bienestar subjetivo hace tiempo que ya está en marcha. Pero esta debida incorporación debe extenderse al resto de políticas sociales específicas y a la política social general. En este sentido, países como el Reino Unido o Francia, así como la propia Unión Europea, ya han iniciado, aunque todavía muy tímidamente, el camino que debe conducirnos hacia una verdadera evaluación social de la felicidad. </w:t>
      </w:r>
    </w:p>
    <w:p w14:paraId="62DAA8E1" w14:textId="77777777" w:rsidR="0000205E" w:rsidRDefault="0000205E" w:rsidP="005D529F">
      <w:pPr>
        <w:rPr>
          <w:rFonts w:cs="Times New Roman"/>
        </w:rPr>
      </w:pPr>
    </w:p>
    <w:p w14:paraId="5FFC1C36" w14:textId="77777777" w:rsidR="00686690" w:rsidRDefault="00686690" w:rsidP="005D529F">
      <w:pPr>
        <w:rPr>
          <w:rFonts w:cs="Times New Roman"/>
        </w:rPr>
        <w:sectPr w:rsidR="00686690" w:rsidSect="008E2488">
          <w:headerReference w:type="default" r:id="rId72"/>
          <w:pgSz w:w="11900" w:h="16840"/>
          <w:pgMar w:top="2041" w:right="1814" w:bottom="1758" w:left="1814" w:header="709" w:footer="709" w:gutter="0"/>
          <w:pgNumType w:start="138"/>
          <w:cols w:space="708"/>
          <w:titlePg/>
          <w:docGrid w:linePitch="360"/>
        </w:sectPr>
      </w:pPr>
    </w:p>
    <w:p w14:paraId="2F3D5849" w14:textId="77777777" w:rsidR="0000205E" w:rsidRDefault="002635DB" w:rsidP="00686690">
      <w:pPr>
        <w:pStyle w:val="Ttulo1"/>
        <w:rPr>
          <w:lang w:val="en-GB"/>
        </w:rPr>
      </w:pPr>
      <w:bookmarkStart w:id="135" w:name="_Toc311991834"/>
      <w:bookmarkStart w:id="136" w:name="_Toc311993063"/>
      <w:bookmarkStart w:id="137" w:name="_Toc311998422"/>
      <w:r w:rsidRPr="005D529F">
        <w:lastRenderedPageBreak/>
        <w:t>Referencias</w:t>
      </w:r>
      <w:bookmarkEnd w:id="135"/>
      <w:bookmarkEnd w:id="136"/>
      <w:bookmarkEnd w:id="137"/>
    </w:p>
    <w:p w14:paraId="65FF5A31" w14:textId="328322F6" w:rsidR="00C854D9" w:rsidRPr="005D529F" w:rsidRDefault="00C854D9" w:rsidP="008D1CD5">
      <w:pPr>
        <w:rPr>
          <w:lang w:val="en-GB"/>
        </w:rPr>
      </w:pPr>
      <w:r w:rsidRPr="005D529F">
        <w:rPr>
          <w:lang w:val="en-GB"/>
        </w:rPr>
        <w:t>Angelini, V., Casi, L. y Corazzini, L. (2014): “Life Satisfaction of immigrants: does</w:t>
      </w:r>
      <w:r w:rsidR="008D1CD5">
        <w:rPr>
          <w:lang w:val="en-GB"/>
        </w:rPr>
        <w:t xml:space="preserve"> cultural assimilation matter?”</w:t>
      </w:r>
      <w:r w:rsidRPr="005D529F">
        <w:rPr>
          <w:lang w:val="en-GB"/>
        </w:rPr>
        <w:t xml:space="preserve"> Berlin: Soep papers on Multidisplinary Panel Data Research. Disponible en: </w:t>
      </w:r>
      <w:hyperlink r:id="rId73" w:history="1">
        <w:r w:rsidRPr="005D529F">
          <w:rPr>
            <w:rStyle w:val="Hipervnculo"/>
            <w:rFonts w:cs="Times New Roman"/>
            <w:lang w:val="en-GB"/>
          </w:rPr>
          <w:t>http://www.diw.de/soeppapers</w:t>
        </w:r>
      </w:hyperlink>
    </w:p>
    <w:p w14:paraId="60C4DA89" w14:textId="77777777" w:rsidR="008D1CD5" w:rsidRDefault="00C854D9" w:rsidP="008D1CD5">
      <w:pPr>
        <w:rPr>
          <w:lang w:val="en-GB"/>
        </w:rPr>
      </w:pPr>
      <w:r w:rsidRPr="005D529F">
        <w:rPr>
          <w:lang w:val="en-GB"/>
        </w:rPr>
        <w:t>Anusic, I., Yap, S. C. Y., y Lucas, R. E. (2014): “Testing Set-Point Theory in a Swiss National Sample: Reaction and Adaptation to Major Life Events”, Social Indicators Research, Published online: DOI 10.1007/s11205-013-0541-2.</w:t>
      </w:r>
    </w:p>
    <w:p w14:paraId="36B2E292" w14:textId="7B00A3A4" w:rsidR="00C854D9" w:rsidRPr="005D529F" w:rsidRDefault="00C854D9" w:rsidP="008D1CD5">
      <w:pPr>
        <w:rPr>
          <w:lang w:val="en-GB"/>
        </w:rPr>
      </w:pPr>
      <w:r w:rsidRPr="005D529F">
        <w:rPr>
          <w:lang w:val="en-GB"/>
        </w:rPr>
        <w:t>Arbuckle, J, L. (2010): IBM SPSS Amos 19. User’s Guide. Chicago: SPSS.</w:t>
      </w:r>
    </w:p>
    <w:p w14:paraId="07AAD7E1" w14:textId="77777777" w:rsidR="00C854D9" w:rsidRPr="005D529F" w:rsidRDefault="00C854D9" w:rsidP="008D1CD5">
      <w:pPr>
        <w:rPr>
          <w:lang w:val="en-GB"/>
        </w:rPr>
      </w:pPr>
      <w:r w:rsidRPr="005D529F">
        <w:rPr>
          <w:lang w:val="en-GB"/>
        </w:rPr>
        <w:t>Arens, D. A. (1982): “Widowhood and Well-Being: An Examination of Sex Differences within a Causal Model”, International Journal of Aging and Human Development, 15.2: 27-40.</w:t>
      </w:r>
    </w:p>
    <w:p w14:paraId="4028883D" w14:textId="77777777" w:rsidR="00C854D9" w:rsidRPr="005D529F" w:rsidRDefault="00C854D9" w:rsidP="008D1CD5">
      <w:pPr>
        <w:rPr>
          <w:lang w:val="en-GB"/>
        </w:rPr>
      </w:pPr>
      <w:r w:rsidRPr="005D529F">
        <w:rPr>
          <w:lang w:val="en-GB"/>
        </w:rPr>
        <w:t>Argyle, M. (2001): The Psychology of Happiness, East Sussex: Routledge.</w:t>
      </w:r>
    </w:p>
    <w:p w14:paraId="6DFF5A28" w14:textId="77777777" w:rsidR="00C854D9" w:rsidRPr="005D529F" w:rsidRDefault="00C854D9" w:rsidP="008D1CD5">
      <w:pPr>
        <w:rPr>
          <w:lang w:val="en-GB"/>
        </w:rPr>
      </w:pPr>
      <w:r w:rsidRPr="005D529F">
        <w:rPr>
          <w:lang w:val="en-GB"/>
        </w:rPr>
        <w:t>Aristóteles (2010): Ética a Nicómaco, Madrid: Editorial Gredos.</w:t>
      </w:r>
    </w:p>
    <w:p w14:paraId="7832B41A" w14:textId="77777777" w:rsidR="00C854D9" w:rsidRPr="005D529F" w:rsidRDefault="00C854D9" w:rsidP="005D529F">
      <w:pPr>
        <w:rPr>
          <w:rFonts w:cs="Times New Roman"/>
          <w:lang w:val="en-GB"/>
        </w:rPr>
      </w:pPr>
      <w:r w:rsidRPr="005D529F">
        <w:rPr>
          <w:rFonts w:cs="Times New Roman"/>
          <w:lang w:val="en-GB"/>
        </w:rPr>
        <w:t>Bălţătescu, S. (2007): “Central and Eastern European Migrants’ Subjective Quality of Life. A comparative Study”, Journal of Identity and Migration Studies, Vol. 1(2): 67-81.</w:t>
      </w:r>
    </w:p>
    <w:p w14:paraId="4C344826" w14:textId="77777777" w:rsidR="00C854D9" w:rsidRPr="005D529F" w:rsidRDefault="00C854D9" w:rsidP="005D529F">
      <w:pPr>
        <w:rPr>
          <w:rFonts w:cs="Times New Roman"/>
          <w:lang w:val="en-GB"/>
        </w:rPr>
      </w:pPr>
      <w:r w:rsidRPr="005D529F">
        <w:rPr>
          <w:rFonts w:eastAsia="Times New Roman"/>
          <w:lang w:val="en-GB"/>
        </w:rPr>
        <w:t xml:space="preserve">— </w:t>
      </w:r>
      <w:r w:rsidRPr="005D529F">
        <w:rPr>
          <w:rFonts w:cs="Times New Roman"/>
          <w:lang w:val="en-GB"/>
        </w:rPr>
        <w:t>(2005): “Subjective Well-being of Immigrants in Europe and Their Evaluation of Societal Conditions. An exploratory Study”, en L. Pop y C. Matiuta (eds.), European Identity and Free Movement of Persons in Europe, Oradea: University of Oradea Publishing House: 128-143.</w:t>
      </w:r>
    </w:p>
    <w:p w14:paraId="0CC0B9A4" w14:textId="77777777" w:rsidR="00C854D9" w:rsidRPr="005D529F" w:rsidRDefault="00C854D9" w:rsidP="005D529F">
      <w:pPr>
        <w:rPr>
          <w:rFonts w:cs="Times New Roman"/>
          <w:lang w:val="en-GB"/>
        </w:rPr>
      </w:pPr>
      <w:r w:rsidRPr="005D529F">
        <w:rPr>
          <w:rFonts w:cs="Times New Roman"/>
          <w:lang w:val="en-GB"/>
        </w:rPr>
        <w:t>Barbalet (1999): “Boredom and social meaning”, British Journal of Sociology, 50 (4): 631-646.</w:t>
      </w:r>
    </w:p>
    <w:p w14:paraId="589E8844" w14:textId="77777777" w:rsidR="00C854D9" w:rsidRPr="005D529F" w:rsidRDefault="00C854D9" w:rsidP="005D529F">
      <w:pPr>
        <w:rPr>
          <w:rFonts w:cs="Times New Roman"/>
          <w:lang w:val="en-GB"/>
        </w:rPr>
      </w:pPr>
      <w:r w:rsidRPr="005D529F">
        <w:rPr>
          <w:rFonts w:cs="Times New Roman"/>
          <w:lang w:val="en-GB"/>
        </w:rPr>
        <w:t xml:space="preserve">Bárez Cambronero, F. J. (2010): “Emoción y exclusión social, una relación al descubierto”, disponible en: </w:t>
      </w:r>
      <w:r w:rsidRPr="005D529F">
        <w:rPr>
          <w:rFonts w:cs="Times New Roman"/>
          <w:color w:val="0000FF"/>
          <w:lang w:val="en-GB"/>
        </w:rPr>
        <w:t>http://www.consorciointeligenciaemocional.org/cast/pages/04/estudios.aspx</w:t>
      </w:r>
    </w:p>
    <w:p w14:paraId="54DE81AD" w14:textId="77777777" w:rsidR="00C854D9" w:rsidRPr="005D529F" w:rsidRDefault="00C854D9" w:rsidP="005D529F">
      <w:pPr>
        <w:rPr>
          <w:rFonts w:cs="Times New Roman"/>
          <w:lang w:val="en-GB"/>
        </w:rPr>
      </w:pPr>
      <w:r w:rsidRPr="005D529F">
        <w:rPr>
          <w:rFonts w:cs="Times New Roman"/>
          <w:lang w:val="en-GB"/>
        </w:rPr>
        <w:t>Batista-Foguet, J. M., Coenders, G. y Alonso, J. (2004): “Análisis factorial confirmatorio. Su utilidad en la validación de cuestionarios de Salud”, Med Clin (Barc), 122 (Supl 1): 21-27.</w:t>
      </w:r>
    </w:p>
    <w:p w14:paraId="4F67AC2F" w14:textId="5421E6C9" w:rsidR="00B23F73" w:rsidRPr="005D529F" w:rsidRDefault="00B23F73" w:rsidP="005D529F">
      <w:pPr>
        <w:rPr>
          <w:rFonts w:cs="Times New Roman"/>
          <w:lang w:val="en-GB"/>
        </w:rPr>
      </w:pPr>
      <w:r w:rsidRPr="005D529F">
        <w:rPr>
          <w:rFonts w:cs="Times New Roman"/>
          <w:lang w:val="en-GB"/>
        </w:rPr>
        <w:t>Bauman, Z. (2014): ¿La riqueza de unos pocos nos beneficia a todos? Barcelona, Paidós.</w:t>
      </w:r>
    </w:p>
    <w:p w14:paraId="7721B60B" w14:textId="77777777" w:rsidR="00C854D9" w:rsidRPr="005D529F" w:rsidRDefault="00C854D9" w:rsidP="005D529F">
      <w:pPr>
        <w:rPr>
          <w:rFonts w:cs="Times New Roman"/>
          <w:lang w:val="en-GB"/>
        </w:rPr>
      </w:pPr>
      <w:r w:rsidRPr="005D529F">
        <w:rPr>
          <w:rFonts w:cs="Times New Roman"/>
          <w:lang w:val="en-GB"/>
        </w:rPr>
        <w:t>Baxter, J. y Gray, E. (2003): “For Richer or Poorer: Women, Men and Marriage”. Paper presented to 8</w:t>
      </w:r>
      <w:r w:rsidRPr="005D529F">
        <w:rPr>
          <w:rFonts w:cs="Times New Roman"/>
          <w:vertAlign w:val="superscript"/>
          <w:lang w:val="en-GB"/>
        </w:rPr>
        <w:t>th</w:t>
      </w:r>
      <w:r w:rsidRPr="005D529F">
        <w:rPr>
          <w:rFonts w:cs="Times New Roman"/>
          <w:lang w:val="en-GB"/>
        </w:rPr>
        <w:t xml:space="preserve"> Australian Institute of Family Studies Conference. Melbourne 12-14 February, 2003.</w:t>
      </w:r>
    </w:p>
    <w:p w14:paraId="0D21B3C6" w14:textId="0642EF30" w:rsidR="00B23F73" w:rsidRPr="005D529F" w:rsidRDefault="00B23F73" w:rsidP="005D529F">
      <w:pPr>
        <w:rPr>
          <w:rFonts w:cs="Times New Roman"/>
          <w:lang w:val="en-GB"/>
        </w:rPr>
      </w:pPr>
      <w:r w:rsidRPr="005D529F">
        <w:rPr>
          <w:rFonts w:cs="Times New Roman"/>
          <w:lang w:val="en-GB"/>
        </w:rPr>
        <w:lastRenderedPageBreak/>
        <w:t>Berg &amp; Veenhoven (2010): Income Equality and Happiness in 119 nations, en Bent Greve (Ed.), Social Policy and Happiness in Europe, Edgar Elgar Cheltenham, Reino Unido, pp- 174-194.</w:t>
      </w:r>
    </w:p>
    <w:p w14:paraId="6351A8EC" w14:textId="77777777" w:rsidR="00C854D9" w:rsidRPr="005D529F" w:rsidRDefault="00C854D9" w:rsidP="005D529F">
      <w:pPr>
        <w:rPr>
          <w:rFonts w:cs="Times New Roman"/>
          <w:lang w:val="en-GB"/>
        </w:rPr>
      </w:pPr>
      <w:r w:rsidRPr="005D529F">
        <w:rPr>
          <w:rFonts w:cs="Times New Roman"/>
          <w:lang w:val="en-GB"/>
        </w:rPr>
        <w:t>Bericat Alastuey, E. (2015): “Valores sociales, diversidad cultural y conflictos ideológicos”, en C. Torres (ed.) Informe Social de España, 2015. Madrid, CIS (en prensa).</w:t>
      </w:r>
    </w:p>
    <w:p w14:paraId="4ECA5959" w14:textId="77777777" w:rsidR="00C854D9" w:rsidRPr="005D529F" w:rsidRDefault="00C854D9" w:rsidP="005D529F">
      <w:pPr>
        <w:rPr>
          <w:rFonts w:cs="Times New Roman"/>
          <w:lang w:val="en-GB"/>
        </w:rPr>
      </w:pPr>
      <w:r w:rsidRPr="005D529F">
        <w:rPr>
          <w:rFonts w:eastAsia="Times New Roman"/>
          <w:lang w:val="en-GB"/>
        </w:rPr>
        <w:t xml:space="preserve">— </w:t>
      </w:r>
      <w:r w:rsidRPr="005D529F">
        <w:rPr>
          <w:rFonts w:cs="Times New Roman"/>
          <w:lang w:val="en-GB"/>
        </w:rPr>
        <w:t>(2015b): “The Subjective Well-being of Working Women in Europe”, en M. Connerley y J. Wu (eds.), Handbook on well-being of working women, The Quality of Life Research Series. Springer (en prensa)</w:t>
      </w:r>
    </w:p>
    <w:p w14:paraId="43D28F96" w14:textId="77777777" w:rsidR="00C854D9" w:rsidRPr="005D529F" w:rsidRDefault="00C854D9" w:rsidP="005D529F">
      <w:pPr>
        <w:rPr>
          <w:rFonts w:cs="Times New Roman"/>
          <w:lang w:val="en-GB"/>
        </w:rPr>
      </w:pPr>
      <w:r w:rsidRPr="005D529F">
        <w:rPr>
          <w:rFonts w:eastAsia="Times New Roman"/>
          <w:lang w:val="en-GB"/>
        </w:rPr>
        <w:t xml:space="preserve">— </w:t>
      </w:r>
      <w:r w:rsidRPr="005D529F">
        <w:rPr>
          <w:rFonts w:cs="Times New Roman"/>
          <w:lang w:val="en-GB"/>
        </w:rPr>
        <w:t>(2014): “Matrimonio, desigualdad de género y bienestar socioemocional de los miembros de la pareja”, en A. García, y O. Sabido (eds.), Cuerpo, y afectividad en la sociedad contemporánea. México: UAM-A</w:t>
      </w:r>
    </w:p>
    <w:p w14:paraId="7FDB48AD" w14:textId="77777777" w:rsidR="00C854D9" w:rsidRPr="005D529F" w:rsidRDefault="00C854D9" w:rsidP="005D529F">
      <w:pPr>
        <w:rPr>
          <w:rFonts w:cs="Times New Roman"/>
          <w:lang w:val="en-GB"/>
        </w:rPr>
      </w:pPr>
      <w:r w:rsidRPr="005D529F">
        <w:rPr>
          <w:rFonts w:cs="Times New Roman"/>
          <w:lang w:val="en-GB"/>
        </w:rPr>
        <w:t xml:space="preserve"> </w:t>
      </w:r>
      <w:r w:rsidRPr="005D529F">
        <w:rPr>
          <w:rFonts w:eastAsia="Times New Roman"/>
          <w:lang w:val="en-GB"/>
        </w:rPr>
        <w:t xml:space="preserve">— </w:t>
      </w:r>
      <w:r w:rsidRPr="005D529F">
        <w:rPr>
          <w:rFonts w:cs="Times New Roman"/>
          <w:lang w:val="en-GB"/>
        </w:rPr>
        <w:t>(2013): “The Socioemotional Well-Being Index (SEWBI): Theoretical Framework ad Empirical Operationalization”, Social Indicators Research, DOI 10.1007/s11205-013-0528-z</w:t>
      </w:r>
    </w:p>
    <w:p w14:paraId="1A80173A" w14:textId="79455D29" w:rsidR="00C854D9" w:rsidRPr="005D529F" w:rsidRDefault="00C854D9" w:rsidP="005D529F">
      <w:pPr>
        <w:rPr>
          <w:rFonts w:cs="Times New Roman"/>
          <w:lang w:val="en-GB"/>
        </w:rPr>
      </w:pPr>
      <w:r w:rsidRPr="005D529F">
        <w:rPr>
          <w:rFonts w:eastAsia="Times New Roman"/>
          <w:lang w:val="en-GB"/>
        </w:rPr>
        <w:t xml:space="preserve">— </w:t>
      </w:r>
      <w:r w:rsidRPr="005D529F">
        <w:rPr>
          <w:rFonts w:cs="Times New Roman"/>
          <w:lang w:val="en-GB"/>
        </w:rPr>
        <w:t>(201</w:t>
      </w:r>
      <w:r w:rsidR="00356232" w:rsidRPr="005D529F">
        <w:rPr>
          <w:rFonts w:cs="Times New Roman"/>
          <w:lang w:val="en-GB"/>
        </w:rPr>
        <w:t>2</w:t>
      </w:r>
      <w:r w:rsidRPr="005D529F">
        <w:rPr>
          <w:rFonts w:cs="Times New Roman"/>
          <w:lang w:val="en-GB"/>
        </w:rPr>
        <w:t>a): "Emotions", en Sociopedia, International Sociological Association (ISA). Edit. Sage: 1-13.</w:t>
      </w:r>
    </w:p>
    <w:p w14:paraId="3F07C1A5" w14:textId="7513E9E6" w:rsidR="00C854D9" w:rsidRPr="005D529F" w:rsidRDefault="00C854D9" w:rsidP="005D529F">
      <w:pPr>
        <w:rPr>
          <w:rFonts w:cs="Times New Roman"/>
          <w:lang w:val="en-GB"/>
        </w:rPr>
      </w:pPr>
      <w:r w:rsidRPr="005D529F">
        <w:rPr>
          <w:rFonts w:eastAsia="Times New Roman"/>
          <w:lang w:val="en-GB"/>
        </w:rPr>
        <w:t xml:space="preserve">— </w:t>
      </w:r>
      <w:r w:rsidRPr="005D529F">
        <w:rPr>
          <w:rFonts w:cs="Times New Roman"/>
          <w:lang w:val="en-GB"/>
        </w:rPr>
        <w:t>(2012b): “The European Gender Equality Index: conceptual and Analytical Issues”, Social Indicators Research, 108:1-28</w:t>
      </w:r>
    </w:p>
    <w:p w14:paraId="279CABE9" w14:textId="77777777" w:rsidR="00C854D9" w:rsidRPr="005D529F" w:rsidRDefault="00C854D9" w:rsidP="005D529F">
      <w:pPr>
        <w:rPr>
          <w:rFonts w:cs="Times New Roman"/>
          <w:lang w:val="en-GB"/>
        </w:rPr>
      </w:pPr>
      <w:r w:rsidRPr="005D529F">
        <w:rPr>
          <w:rFonts w:eastAsia="Times New Roman"/>
          <w:lang w:val="en-GB"/>
        </w:rPr>
        <w:t xml:space="preserve">— </w:t>
      </w:r>
      <w:r w:rsidRPr="005D529F">
        <w:rPr>
          <w:rFonts w:cs="Times New Roman"/>
          <w:lang w:val="en-GB"/>
        </w:rPr>
        <w:t xml:space="preserve">(2002): </w:t>
      </w:r>
      <w:r w:rsidRPr="005D529F">
        <w:rPr>
          <w:rFonts w:cs="Times New Roman"/>
          <w:bCs/>
          <w:lang w:val="en-GB"/>
        </w:rPr>
        <w:t>“¿Sienten las sociedades? Emociones individuales, sociales y colectivas”</w:t>
      </w:r>
      <w:r w:rsidRPr="005D529F">
        <w:rPr>
          <w:rFonts w:cs="Times New Roman"/>
          <w:lang w:val="en-GB"/>
        </w:rPr>
        <w:t>, en P. Fernández y N. Ramos (coord.), Corazones inteligentes, Barcelona: Kairós, 121</w:t>
      </w:r>
      <w:r w:rsidRPr="005D529F">
        <w:rPr>
          <w:rFonts w:cs="Times New Roman"/>
          <w:lang w:val="en-GB"/>
        </w:rPr>
        <w:noBreakHyphen/>
        <w:t>144.</w:t>
      </w:r>
    </w:p>
    <w:p w14:paraId="76549C04" w14:textId="6D91FF70" w:rsidR="004D6160" w:rsidRPr="005D529F" w:rsidRDefault="004D6160" w:rsidP="005D529F">
      <w:pPr>
        <w:rPr>
          <w:rFonts w:eastAsia="Times New Roman"/>
          <w:lang w:val="en-GB"/>
        </w:rPr>
      </w:pPr>
      <w:r w:rsidRPr="005D529F">
        <w:rPr>
          <w:rFonts w:eastAsia="Times New Roman"/>
          <w:lang w:val="en-GB"/>
        </w:rPr>
        <w:t xml:space="preserve">— </w:t>
      </w:r>
      <w:r w:rsidRPr="005D529F">
        <w:rPr>
          <w:rFonts w:cs="Times New Roman"/>
          <w:lang w:val="en-GB"/>
        </w:rPr>
        <w:t>(2001a): “Max Weber o el enigma emocional del origen del capitalismo”, en Revista Española de Investigaciones Sociológicas (REIS), 95:9-36</w:t>
      </w:r>
    </w:p>
    <w:p w14:paraId="35F816FC" w14:textId="07602155" w:rsidR="00CC364A" w:rsidRPr="005D529F" w:rsidRDefault="00CC364A" w:rsidP="005D529F">
      <w:pPr>
        <w:rPr>
          <w:rFonts w:cs="Times New Roman"/>
          <w:lang w:val="en-GB"/>
        </w:rPr>
      </w:pPr>
      <w:r w:rsidRPr="005D529F">
        <w:rPr>
          <w:rFonts w:eastAsia="Times New Roman"/>
          <w:lang w:val="en-GB"/>
        </w:rPr>
        <w:t xml:space="preserve">— </w:t>
      </w:r>
      <w:r w:rsidRPr="005D529F">
        <w:rPr>
          <w:rFonts w:cs="Times New Roman"/>
          <w:lang w:val="en-GB"/>
        </w:rPr>
        <w:t>(2001</w:t>
      </w:r>
      <w:r w:rsidR="004D6160" w:rsidRPr="005D529F">
        <w:rPr>
          <w:rFonts w:cs="Times New Roman"/>
          <w:lang w:val="en-GB"/>
        </w:rPr>
        <w:t>b</w:t>
      </w:r>
      <w:r w:rsidRPr="005D529F">
        <w:rPr>
          <w:rFonts w:cs="Times New Roman"/>
          <w:lang w:val="en-GB"/>
        </w:rPr>
        <w:t>): El suicidio en Durkheim o la modernidad de la triste figura, en Revista Internacional de Sociología (RIS), 28:69-104.</w:t>
      </w:r>
    </w:p>
    <w:p w14:paraId="407BE2BC" w14:textId="77777777" w:rsidR="00C854D9" w:rsidRPr="005D529F" w:rsidRDefault="00C854D9" w:rsidP="005D529F">
      <w:pPr>
        <w:rPr>
          <w:rFonts w:cs="Times New Roman"/>
          <w:lang w:val="en-GB"/>
        </w:rPr>
      </w:pPr>
      <w:r w:rsidRPr="005D529F">
        <w:rPr>
          <w:rFonts w:eastAsia="Times New Roman"/>
          <w:lang w:val="en-GB"/>
        </w:rPr>
        <w:t xml:space="preserve">— </w:t>
      </w:r>
      <w:r w:rsidRPr="005D529F">
        <w:rPr>
          <w:rFonts w:cs="Times New Roman"/>
          <w:lang w:val="en-GB"/>
        </w:rPr>
        <w:t>(2000): “La sociología de la emoción y la emoción en la sociología”, Papers. Revista de Sociología, 62:145–176.</w:t>
      </w:r>
    </w:p>
    <w:p w14:paraId="6BB61F02" w14:textId="77777777" w:rsidR="00C854D9" w:rsidRPr="005D529F" w:rsidRDefault="00C854D9" w:rsidP="005D529F">
      <w:pPr>
        <w:rPr>
          <w:rFonts w:cs="Times New Roman"/>
          <w:lang w:val="en-GB"/>
        </w:rPr>
      </w:pPr>
      <w:r w:rsidRPr="005D529F">
        <w:rPr>
          <w:rFonts w:cs="Times New Roman"/>
          <w:lang w:val="en-GB"/>
        </w:rPr>
        <w:t xml:space="preserve">Bericat Alastuey, E. y Sánchez Bermejo, E. (2015): “Structural Gender Equality in Europe and its Evolution over the First Decade of the </w:t>
      </w:r>
      <w:r w:rsidRPr="005D529F">
        <w:rPr>
          <w:rFonts w:cs="Times New Roman"/>
          <w:color w:val="000000"/>
          <w:lang w:val="en-GB"/>
        </w:rPr>
        <w:t>21</w:t>
      </w:r>
      <w:r w:rsidRPr="005D529F">
        <w:rPr>
          <w:rFonts w:cs="Times New Roman"/>
          <w:color w:val="000000"/>
          <w:vertAlign w:val="superscript"/>
          <w:lang w:val="en-GB"/>
        </w:rPr>
        <w:t>st</w:t>
      </w:r>
      <w:r w:rsidRPr="005D529F">
        <w:rPr>
          <w:rFonts w:cs="Times New Roman"/>
          <w:color w:val="000000"/>
          <w:lang w:val="en-GB"/>
        </w:rPr>
        <w:t xml:space="preserve"> Century”, en Social Indicator Research (en prensa).</w:t>
      </w:r>
    </w:p>
    <w:p w14:paraId="44D09254" w14:textId="77777777" w:rsidR="00C854D9" w:rsidRPr="005D529F" w:rsidRDefault="00C854D9" w:rsidP="005D529F">
      <w:pPr>
        <w:rPr>
          <w:rFonts w:cs="Times New Roman"/>
          <w:lang w:val="en-GB"/>
        </w:rPr>
      </w:pPr>
      <w:r w:rsidRPr="005D529F">
        <w:rPr>
          <w:rFonts w:cs="Times New Roman"/>
          <w:lang w:val="en-GB"/>
        </w:rPr>
        <w:t>Bernabé, A. (1988): De Tales a Demócrito. Fragmentos presocráticos, Madrid: Alianza.</w:t>
      </w:r>
    </w:p>
    <w:p w14:paraId="108A6B13" w14:textId="77777777" w:rsidR="00C854D9" w:rsidRPr="005D529F" w:rsidRDefault="00C854D9" w:rsidP="005D529F">
      <w:pPr>
        <w:rPr>
          <w:rFonts w:cs="Times New Roman"/>
          <w:lang w:val="en-GB"/>
        </w:rPr>
      </w:pPr>
      <w:r w:rsidRPr="005D529F">
        <w:rPr>
          <w:rFonts w:cs="Times New Roman"/>
          <w:lang w:val="en-GB"/>
        </w:rPr>
        <w:t>Biswas-Diener, R. Y Diener, Ed. (2006): The subjective well-being of the homeless, and lessons for happiness, Social Indicators Research, 76:185-205.</w:t>
      </w:r>
    </w:p>
    <w:p w14:paraId="293A611D" w14:textId="77777777" w:rsidR="00C854D9" w:rsidRPr="005D529F" w:rsidRDefault="00C854D9" w:rsidP="005D529F">
      <w:pPr>
        <w:rPr>
          <w:rFonts w:cs="Times New Roman"/>
          <w:lang w:val="en-GB"/>
        </w:rPr>
      </w:pPr>
      <w:r w:rsidRPr="005D529F">
        <w:rPr>
          <w:rFonts w:cs="Times New Roman"/>
          <w:lang w:val="en-GB"/>
        </w:rPr>
        <w:t>Bolle, F. y Kemp, S. (2009): “Can we compare life satisfaction between nationalities? Evaluating actual and imagined situations”, Social Indicators Research, 90:397-408.</w:t>
      </w:r>
    </w:p>
    <w:p w14:paraId="3FAC6BA1" w14:textId="77777777" w:rsidR="00C854D9" w:rsidRPr="005D529F" w:rsidRDefault="00C854D9" w:rsidP="005D529F">
      <w:pPr>
        <w:rPr>
          <w:rFonts w:cs="Times New Roman"/>
          <w:lang w:val="en-GB"/>
        </w:rPr>
      </w:pPr>
      <w:r w:rsidRPr="005D529F">
        <w:rPr>
          <w:rFonts w:cs="Times New Roman"/>
          <w:lang w:val="en-GB"/>
        </w:rPr>
        <w:lastRenderedPageBreak/>
        <w:t>Bollen, K. A. (1989): Structural equations with latent variables, New York: John Wiley &amp; Sons.</w:t>
      </w:r>
    </w:p>
    <w:p w14:paraId="54A9CE03" w14:textId="77777777" w:rsidR="00C854D9" w:rsidRPr="005D529F" w:rsidRDefault="00C854D9" w:rsidP="005D529F">
      <w:pPr>
        <w:rPr>
          <w:rFonts w:cs="Times New Roman"/>
          <w:lang w:val="en-GB"/>
        </w:rPr>
      </w:pPr>
      <w:r w:rsidRPr="005D529F">
        <w:rPr>
          <w:rFonts w:cs="Times New Roman"/>
          <w:lang w:val="en-GB"/>
        </w:rPr>
        <w:t>Bonanno, G. A., Wortman, C. B., &amp; Nesse, R. M. (2004): Prospective patterns of resilience and maladjustment during widowhood, Psychology and Aging, 19: 260–271.</w:t>
      </w:r>
    </w:p>
    <w:p w14:paraId="115130B8" w14:textId="77777777" w:rsidR="00C854D9" w:rsidRPr="005D529F" w:rsidRDefault="00C854D9" w:rsidP="005D529F">
      <w:pPr>
        <w:rPr>
          <w:rFonts w:cs="Times New Roman"/>
          <w:lang w:val="en-GB"/>
        </w:rPr>
      </w:pPr>
      <w:r w:rsidRPr="005D529F">
        <w:rPr>
          <w:rFonts w:cs="Times New Roman"/>
          <w:lang w:val="en-GB"/>
        </w:rPr>
        <w:t>Bourdieu, P. (1999): La miseria del mundo, Madrid: Akal.</w:t>
      </w:r>
    </w:p>
    <w:p w14:paraId="72C6BE56" w14:textId="77777777" w:rsidR="00C854D9" w:rsidRPr="005D529F" w:rsidRDefault="00C854D9" w:rsidP="005D529F">
      <w:pPr>
        <w:rPr>
          <w:rFonts w:eastAsia="Times New Roman"/>
          <w:lang w:val="en-GB"/>
        </w:rPr>
      </w:pPr>
      <w:r w:rsidRPr="005D529F">
        <w:rPr>
          <w:rFonts w:cs="Times New Roman"/>
          <w:lang w:val="en-GB"/>
        </w:rPr>
        <w:t>Bradburn, N.M. (1969): The Structure of Psychological Well-Being, Chicago: Aldine. Aldine Publ. Co.</w:t>
      </w:r>
      <w:r w:rsidRPr="005D529F">
        <w:rPr>
          <w:rFonts w:eastAsia="Times New Roman"/>
          <w:lang w:val="en-GB"/>
        </w:rPr>
        <w:t xml:space="preserve"> </w:t>
      </w:r>
    </w:p>
    <w:p w14:paraId="4D80CB9F" w14:textId="77777777" w:rsidR="00C854D9" w:rsidRPr="005D529F" w:rsidRDefault="00C854D9" w:rsidP="005D529F">
      <w:pPr>
        <w:rPr>
          <w:rFonts w:cs="Times New Roman"/>
          <w:lang w:val="en-GB"/>
        </w:rPr>
      </w:pPr>
      <w:r w:rsidRPr="005D529F">
        <w:rPr>
          <w:rFonts w:eastAsia="Times New Roman"/>
          <w:lang w:val="en-GB"/>
        </w:rPr>
        <w:t xml:space="preserve">— </w:t>
      </w:r>
      <w:r w:rsidRPr="005D529F">
        <w:rPr>
          <w:rFonts w:cs="Times New Roman"/>
          <w:lang w:val="en-GB"/>
        </w:rPr>
        <w:t>y Caplovitz, D.B. (1965): Reports on happiness: a pilot study of behavior related to mental health, Chicago: Aldine.</w:t>
      </w:r>
    </w:p>
    <w:p w14:paraId="61107FA1" w14:textId="77777777" w:rsidR="00C854D9" w:rsidRPr="005D529F" w:rsidRDefault="00C854D9" w:rsidP="005D529F">
      <w:pPr>
        <w:rPr>
          <w:rFonts w:cs="Times New Roman"/>
          <w:lang w:val="en-GB"/>
        </w:rPr>
      </w:pPr>
      <w:r w:rsidRPr="005D529F">
        <w:rPr>
          <w:rFonts w:cs="Times New Roman"/>
          <w:lang w:val="en-GB"/>
        </w:rPr>
        <w:t>Brickman, P. &amp; Campbell, D. T. (1971): “Hedonic relativism and planning the good society” en M. H. Appley (Ed.): Adaptation level theory: A symposium, New York: Academic Press: 287-302.</w:t>
      </w:r>
    </w:p>
    <w:p w14:paraId="50FD40C5" w14:textId="77777777" w:rsidR="00C854D9" w:rsidRPr="005D529F" w:rsidRDefault="00C854D9" w:rsidP="005D529F">
      <w:pPr>
        <w:rPr>
          <w:rFonts w:cs="Times New Roman"/>
          <w:lang w:val="en-GB"/>
        </w:rPr>
      </w:pPr>
      <w:r w:rsidRPr="005D529F">
        <w:rPr>
          <w:rFonts w:cs="Times New Roman"/>
          <w:lang w:val="en-GB"/>
        </w:rPr>
        <w:t>Brickman, P., Coates, D., &amp; Janoff-Bulman, R. (1978): “Lottery winners and accident victims: Is happiness relative?” Journal of Personality and Social Psychology, 36: 917–927.</w:t>
      </w:r>
    </w:p>
    <w:p w14:paraId="1EAA9405" w14:textId="77777777" w:rsidR="00C854D9" w:rsidRPr="005D529F" w:rsidRDefault="00C854D9" w:rsidP="005D529F">
      <w:pPr>
        <w:rPr>
          <w:rFonts w:cs="Times New Roman"/>
          <w:lang w:val="en-GB"/>
        </w:rPr>
      </w:pPr>
      <w:r w:rsidRPr="005D529F">
        <w:rPr>
          <w:rFonts w:cs="Times New Roman"/>
          <w:lang w:val="en-GB"/>
        </w:rPr>
        <w:t>Brockmann, H., Delhey, J., Welzel, C., &amp; Yuan, H. (2009): “The China puzzle: Falling happiness in a rising economy” Journal of Happiness Studies, 10:387–405.</w:t>
      </w:r>
    </w:p>
    <w:p w14:paraId="10FD3E1D" w14:textId="77777777" w:rsidR="00C854D9" w:rsidRPr="005D529F" w:rsidRDefault="00C854D9" w:rsidP="005D529F">
      <w:pPr>
        <w:rPr>
          <w:rFonts w:cs="Times New Roman"/>
          <w:lang w:val="en-GB"/>
        </w:rPr>
      </w:pPr>
      <w:r w:rsidRPr="005D529F">
        <w:rPr>
          <w:rFonts w:cs="Times New Roman"/>
          <w:lang w:val="en-GB"/>
        </w:rPr>
        <w:t>Brody, L. (1999): Gender, Emotion and the Family, Cambridge: Harvard University Press.</w:t>
      </w:r>
    </w:p>
    <w:p w14:paraId="5E449E26" w14:textId="77777777" w:rsidR="00C854D9" w:rsidRPr="005D529F" w:rsidRDefault="00C854D9" w:rsidP="005D529F">
      <w:pPr>
        <w:rPr>
          <w:rFonts w:cs="Times New Roman"/>
          <w:lang w:val="en-GB"/>
        </w:rPr>
      </w:pPr>
      <w:r w:rsidRPr="005D529F">
        <w:rPr>
          <w:rFonts w:cs="Times New Roman"/>
          <w:lang w:val="en-GB"/>
        </w:rPr>
        <w:t>Bryson, A., Green, F., Bridges, S., Craig, R. (2012): Well-Being, Health and Work. NIESR Discussion Paper Nº 387.</w:t>
      </w:r>
    </w:p>
    <w:p w14:paraId="0973F9D1" w14:textId="77777777" w:rsidR="00C854D9" w:rsidRPr="005D529F" w:rsidRDefault="00C854D9" w:rsidP="005D529F">
      <w:pPr>
        <w:rPr>
          <w:rFonts w:cs="Times New Roman"/>
          <w:lang w:val="en-GB"/>
        </w:rPr>
      </w:pPr>
      <w:r w:rsidRPr="005D529F">
        <w:rPr>
          <w:rFonts w:cs="Times New Roman"/>
          <w:lang w:val="en-GB"/>
        </w:rPr>
        <w:t>Cabrera Cabrera, P. J. (1998):“Huésped del aire” Sociología de las personas sin hogar en Madrid, Madrid: Universidad Pontificia de Comillas.</w:t>
      </w:r>
    </w:p>
    <w:p w14:paraId="41436A84" w14:textId="77777777" w:rsidR="00C854D9" w:rsidRPr="005D529F" w:rsidRDefault="00C854D9" w:rsidP="005D529F">
      <w:pPr>
        <w:rPr>
          <w:rFonts w:cs="Times New Roman"/>
          <w:lang w:val="en-GB"/>
        </w:rPr>
      </w:pPr>
      <w:r w:rsidRPr="005D529F">
        <w:rPr>
          <w:rFonts w:cs="Times New Roman"/>
          <w:lang w:val="en-GB"/>
        </w:rPr>
        <w:t>Cabrera, P. J. y Rubio, M. J. (2008): “Las personas sin hogar, hoy”, en Revista del Ministerio de Trabajo y Asuntos Sociales, 75:51-74.</w:t>
      </w:r>
    </w:p>
    <w:p w14:paraId="525A2E82" w14:textId="77777777" w:rsidR="00C854D9" w:rsidRPr="005D529F" w:rsidRDefault="00C854D9" w:rsidP="005D529F">
      <w:pPr>
        <w:rPr>
          <w:rFonts w:eastAsia="Times New Roman" w:cs="Times New Roman"/>
          <w:lang w:val="en-GB"/>
        </w:rPr>
      </w:pPr>
      <w:r w:rsidRPr="005D529F">
        <w:rPr>
          <w:rFonts w:cs="Times New Roman"/>
          <w:lang w:val="en-GB"/>
        </w:rPr>
        <w:t>Camarero Rioja, M. (2014): “Marriage in Europe. Ideal types of marriage in the fist decade of the twenty-first century”,</w:t>
      </w:r>
      <w:r w:rsidRPr="005D529F">
        <w:rPr>
          <w:rFonts w:eastAsia="Times New Roman" w:cs="Times New Roman"/>
          <w:lang w:val="en-GB"/>
        </w:rPr>
        <w:t xml:space="preserve"> European Societies, 16(3): 443-461.</w:t>
      </w:r>
    </w:p>
    <w:p w14:paraId="68B701EC" w14:textId="77777777" w:rsidR="00C854D9" w:rsidRPr="005D529F" w:rsidRDefault="00C854D9" w:rsidP="005D529F">
      <w:pPr>
        <w:rPr>
          <w:rFonts w:cs="Times New Roman"/>
          <w:lang w:val="en-GB"/>
        </w:rPr>
      </w:pPr>
      <w:r w:rsidRPr="005D529F">
        <w:rPr>
          <w:rFonts w:eastAsia="Times New Roman" w:cs="Times New Roman"/>
          <w:lang w:val="en-GB"/>
        </w:rPr>
        <w:t xml:space="preserve">— </w:t>
      </w:r>
      <w:r w:rsidRPr="005D529F">
        <w:rPr>
          <w:rFonts w:cs="Times New Roman"/>
          <w:lang w:val="en-GB"/>
        </w:rPr>
        <w:t>(2010): “La desigualdad de género”, en J. Iglesias de Ussel y A. Trinidad Requena, Leer la sociedad, Madrid: Tecnos, 217-243</w:t>
      </w:r>
    </w:p>
    <w:p w14:paraId="4FD1ACA0" w14:textId="77777777" w:rsidR="00C854D9" w:rsidRPr="005D529F" w:rsidRDefault="00C854D9" w:rsidP="005D529F">
      <w:pPr>
        <w:rPr>
          <w:rFonts w:cs="Times New Roman"/>
          <w:lang w:val="en-GB"/>
        </w:rPr>
      </w:pPr>
      <w:r w:rsidRPr="005D529F">
        <w:rPr>
          <w:rFonts w:cs="Times New Roman"/>
          <w:lang w:val="en-GB"/>
        </w:rPr>
        <w:t>Cea D’Ancona, M. A. (2002): Análisis multivariable. Teoría y práctica en la investigación Social, Madrid: Síntesis.</w:t>
      </w:r>
    </w:p>
    <w:p w14:paraId="39D85390" w14:textId="77777777" w:rsidR="00C854D9" w:rsidRPr="005D529F" w:rsidRDefault="00C854D9" w:rsidP="005D529F">
      <w:pPr>
        <w:rPr>
          <w:rFonts w:cs="Times New Roman"/>
          <w:lang w:val="en-GB"/>
        </w:rPr>
      </w:pPr>
      <w:r w:rsidRPr="005D529F">
        <w:rPr>
          <w:rFonts w:cs="Times New Roman"/>
          <w:lang w:val="en-GB"/>
        </w:rPr>
        <w:t>Cea D’ancona, M. A., Vallés Martínez, M. S., Eseverri Mayer, C. (2014), Convergencias y divergencias de los discursos e imágenes de la inmigración en etapas de bonanza y de crisis, en Migraciones, 35:11-41.</w:t>
      </w:r>
    </w:p>
    <w:p w14:paraId="3B0A8232" w14:textId="77777777" w:rsidR="00C854D9" w:rsidRPr="005D529F" w:rsidRDefault="00C854D9" w:rsidP="005D529F">
      <w:pPr>
        <w:rPr>
          <w:rFonts w:cs="Times New Roman"/>
          <w:lang w:val="en-GB"/>
        </w:rPr>
      </w:pPr>
      <w:r w:rsidRPr="005D529F">
        <w:rPr>
          <w:rFonts w:cs="Times New Roman"/>
          <w:lang w:val="en-GB"/>
        </w:rPr>
        <w:lastRenderedPageBreak/>
        <w:t>Charmaz, K. (1983): “Loss of self: a fundamental form of suffering in the chronically ill”, Sociology of Health and Ilness, 5(2):168-195.</w:t>
      </w:r>
    </w:p>
    <w:p w14:paraId="1D318B90" w14:textId="77777777" w:rsidR="00C854D9" w:rsidRPr="005D529F" w:rsidRDefault="00C854D9" w:rsidP="005D529F">
      <w:pPr>
        <w:rPr>
          <w:rFonts w:cs="Times New Roman"/>
          <w:lang w:val="en-GB"/>
        </w:rPr>
      </w:pPr>
      <w:r w:rsidRPr="005D529F">
        <w:rPr>
          <w:rFonts w:cs="Times New Roman"/>
          <w:lang w:val="en-GB"/>
        </w:rPr>
        <w:t xml:space="preserve">CIS (2011): Estudio nº 2923. Centro de Investigaciones Sociológicas. Available at: </w:t>
      </w:r>
      <w:hyperlink r:id="rId74" w:history="1">
        <w:r w:rsidRPr="005D529F">
          <w:rPr>
            <w:rStyle w:val="Hipervnculo"/>
            <w:rFonts w:cs="Times New Roman"/>
            <w:lang w:val="en-GB"/>
          </w:rPr>
          <w:t>http://www.cis.es/cis/opencm/ES/1_encuestas/estudios/ver.jsp?estudio=12104&amp;cuestionario=14278&amp;muestra=19819</w:t>
        </w:r>
      </w:hyperlink>
    </w:p>
    <w:p w14:paraId="10C3CD29" w14:textId="77777777" w:rsidR="00C854D9" w:rsidRPr="005D529F" w:rsidRDefault="00C854D9" w:rsidP="005D529F">
      <w:pPr>
        <w:rPr>
          <w:rFonts w:cs="Times New Roman"/>
          <w:lang w:val="en-GB"/>
        </w:rPr>
      </w:pPr>
      <w:r w:rsidRPr="005D529F">
        <w:rPr>
          <w:rFonts w:cs="Times New Roman"/>
          <w:lang w:val="en-GB"/>
        </w:rPr>
        <w:t>Clark, A. E. (2006): “A note on unhappiness and unemployment duration”, Applied Economics Quarterly, 52(4): 291–308.</w:t>
      </w:r>
    </w:p>
    <w:p w14:paraId="42A25A10" w14:textId="77777777" w:rsidR="00C854D9" w:rsidRPr="005D529F" w:rsidRDefault="00C854D9" w:rsidP="005D529F">
      <w:pPr>
        <w:rPr>
          <w:rFonts w:cs="Times New Roman"/>
          <w:lang w:val="en-GB"/>
        </w:rPr>
      </w:pPr>
      <w:r w:rsidRPr="005D529F">
        <w:rPr>
          <w:rFonts w:eastAsia="Times New Roman" w:cs="Times New Roman"/>
          <w:lang w:val="en-GB"/>
        </w:rPr>
        <w:t xml:space="preserve">— </w:t>
      </w:r>
      <w:r w:rsidRPr="005D529F">
        <w:rPr>
          <w:rFonts w:cs="Times New Roman"/>
          <w:lang w:val="en-GB"/>
        </w:rPr>
        <w:t>(2003): “Unemployment as a social norm: Psychological evidence from panel data”, Journal of Labour Economics, 21:323–350.</w:t>
      </w:r>
    </w:p>
    <w:p w14:paraId="6965EC2E" w14:textId="77777777" w:rsidR="00C854D9" w:rsidRPr="005D529F" w:rsidRDefault="00C854D9" w:rsidP="005D529F">
      <w:pPr>
        <w:rPr>
          <w:rFonts w:cs="Times New Roman"/>
          <w:lang w:val="en-GB"/>
        </w:rPr>
      </w:pPr>
      <w:r w:rsidRPr="005D529F">
        <w:rPr>
          <w:rFonts w:eastAsia="Times New Roman" w:cs="Times New Roman"/>
          <w:lang w:val="en-GB"/>
        </w:rPr>
        <w:t xml:space="preserve">— </w:t>
      </w:r>
      <w:r w:rsidRPr="005D529F">
        <w:rPr>
          <w:rFonts w:cs="Times New Roman"/>
          <w:lang w:val="en-GB"/>
        </w:rPr>
        <w:t xml:space="preserve">(2001): “Unemployment as a Social Norm: Psychological Evidence from Panel Data.” (Document No. 2001-17, DELTA, available at </w:t>
      </w:r>
      <w:hyperlink r:id="rId75" w:history="1">
        <w:r w:rsidRPr="005D529F">
          <w:rPr>
            <w:rStyle w:val="Hipervnculo"/>
            <w:rFonts w:cs="Times New Roman"/>
            <w:lang w:val="en-GB"/>
          </w:rPr>
          <w:t>www.delta.ens.fr</w:t>
        </w:r>
      </w:hyperlink>
      <w:r w:rsidRPr="005D529F">
        <w:rPr>
          <w:rFonts w:cs="Times New Roman"/>
          <w:lang w:val="en-GB"/>
        </w:rPr>
        <w:t>) (Forthcoming, Journal of Labour Economics)</w:t>
      </w:r>
    </w:p>
    <w:p w14:paraId="06228EC9" w14:textId="77777777" w:rsidR="00C854D9" w:rsidRPr="005D529F" w:rsidRDefault="00C854D9" w:rsidP="005D529F">
      <w:pPr>
        <w:rPr>
          <w:rFonts w:cs="Times New Roman"/>
          <w:lang w:val="en-GB"/>
        </w:rPr>
      </w:pPr>
      <w:r w:rsidRPr="005D529F">
        <w:rPr>
          <w:rFonts w:cs="Times New Roman"/>
          <w:lang w:val="en-GB"/>
        </w:rPr>
        <w:t>Clark, A. Frijters, P. and Shields, M. (2008): “</w:t>
      </w:r>
      <w:r w:rsidRPr="005D529F">
        <w:rPr>
          <w:rFonts w:cs="Times New Roman"/>
          <w:iCs/>
          <w:lang w:val="en-GB"/>
        </w:rPr>
        <w:t xml:space="preserve">Relative income, happiness, and utility: An explanation for the Easterlin paradox and other puzzles”, </w:t>
      </w:r>
      <w:r w:rsidRPr="005D529F">
        <w:rPr>
          <w:rFonts w:cs="Times New Roman"/>
          <w:lang w:val="en-GB"/>
        </w:rPr>
        <w:t>Journal of Economic Literature, 46(1): 95</w:t>
      </w:r>
      <w:r w:rsidRPr="005D529F">
        <w:rPr>
          <w:rFonts w:ascii="Orator Std" w:hAnsi="Orator Std" w:cs="Orator Std"/>
          <w:lang w:val="en-GB"/>
        </w:rPr>
        <w:t>‐</w:t>
      </w:r>
      <w:r w:rsidRPr="005D529F">
        <w:rPr>
          <w:rFonts w:cs="Times New Roman"/>
          <w:lang w:val="en-GB"/>
        </w:rPr>
        <w:t>144.</w:t>
      </w:r>
    </w:p>
    <w:p w14:paraId="76CC61F9" w14:textId="77777777" w:rsidR="00C854D9" w:rsidRPr="005D529F" w:rsidRDefault="00C854D9" w:rsidP="005D529F">
      <w:pPr>
        <w:rPr>
          <w:rFonts w:cs="Times New Roman"/>
          <w:lang w:val="en-GB"/>
        </w:rPr>
      </w:pPr>
      <w:r w:rsidRPr="005D529F">
        <w:rPr>
          <w:rFonts w:cs="Times New Roman"/>
          <w:lang w:val="en-GB"/>
        </w:rPr>
        <w:t>Clark, A.E. and A.J. Oswald (1994): “Unhappiness and Unemployment”, Economic Journal, 104: 648-59.</w:t>
      </w:r>
    </w:p>
    <w:p w14:paraId="19D78D10" w14:textId="77777777" w:rsidR="00C854D9" w:rsidRPr="005D529F" w:rsidRDefault="00C854D9" w:rsidP="005D529F">
      <w:pPr>
        <w:rPr>
          <w:rFonts w:cs="Times New Roman"/>
          <w:lang w:val="en-GB"/>
        </w:rPr>
      </w:pPr>
      <w:r w:rsidRPr="005D529F">
        <w:rPr>
          <w:rFonts w:cs="Times New Roman"/>
          <w:lang w:val="en-GB"/>
        </w:rPr>
        <w:t>Colectivo IOÉ (2010): Discursos de la población migrante en torno a su instalación en España. Exploración cualitativa, Opiniones y Actitudes, 64, Madrid: Centro de Investigaciones Sociológicas.</w:t>
      </w:r>
    </w:p>
    <w:p w14:paraId="7D4B5F2C" w14:textId="77777777" w:rsidR="00C854D9" w:rsidRPr="005D529F" w:rsidRDefault="00C854D9" w:rsidP="005D529F">
      <w:pPr>
        <w:rPr>
          <w:rFonts w:cs="Times New Roman"/>
          <w:lang w:val="en-GB"/>
        </w:rPr>
      </w:pPr>
      <w:r w:rsidRPr="005D529F">
        <w:rPr>
          <w:rFonts w:cs="Times New Roman"/>
          <w:lang w:val="en-GB"/>
        </w:rPr>
        <w:t>Collins R (1990): “Stratification, emotional energy, and the transient emotions”, en Th. D. Kemper (ed.) Research Agendas in the Sociology of Emotions, Albany, (NY): State University NY Press, 27-57.</w:t>
      </w:r>
    </w:p>
    <w:p w14:paraId="4F8F1C4F" w14:textId="77777777" w:rsidR="00C854D9" w:rsidRPr="005D529F" w:rsidRDefault="00C854D9" w:rsidP="005D529F">
      <w:pPr>
        <w:rPr>
          <w:rFonts w:cs="Times New Roman"/>
          <w:lang w:val="en-GB"/>
        </w:rPr>
      </w:pPr>
      <w:r w:rsidRPr="005D529F">
        <w:rPr>
          <w:rFonts w:cs="Times New Roman"/>
          <w:lang w:val="en-GB"/>
        </w:rPr>
        <w:t>Collins, R. (2009): Cadenas de rituales de interacción, Barcelona: Anthropos.</w:t>
      </w:r>
    </w:p>
    <w:p w14:paraId="403DF052" w14:textId="77777777" w:rsidR="00C854D9" w:rsidRPr="005D529F" w:rsidRDefault="00C854D9" w:rsidP="005D529F">
      <w:pPr>
        <w:rPr>
          <w:rFonts w:cs="Times New Roman"/>
          <w:lang w:val="en-GB"/>
        </w:rPr>
      </w:pPr>
      <w:r w:rsidRPr="005D529F">
        <w:rPr>
          <w:rFonts w:cs="Times New Roman"/>
          <w:lang w:val="en-GB"/>
        </w:rPr>
        <w:t>Cooley, Ch. H. (1964[1902]): Human nature and the social order, New York: Schocken Books.</w:t>
      </w:r>
    </w:p>
    <w:p w14:paraId="233949AA" w14:textId="77777777" w:rsidR="00C854D9" w:rsidRPr="005D529F" w:rsidRDefault="00C854D9" w:rsidP="005D529F">
      <w:pPr>
        <w:rPr>
          <w:rFonts w:cs="Times New Roman"/>
          <w:lang w:val="en-GB"/>
        </w:rPr>
      </w:pPr>
      <w:r w:rsidRPr="005D529F">
        <w:rPr>
          <w:rFonts w:cs="Times New Roman"/>
          <w:lang w:val="en-GB"/>
        </w:rPr>
        <w:t xml:space="preserve">De Rivera, J. (1992): “Emotional climate: Social structure and emotional dynamics”, en K. T. Strongman (ed.) </w:t>
      </w:r>
      <w:r w:rsidRPr="005D529F">
        <w:rPr>
          <w:rFonts w:cs="Times New Roman"/>
          <w:iCs/>
          <w:lang w:val="en-GB"/>
        </w:rPr>
        <w:t>International Review of Studies on Emotion</w:t>
      </w:r>
      <w:r w:rsidRPr="005D529F">
        <w:rPr>
          <w:rFonts w:cs="Times New Roman"/>
          <w:lang w:val="en-GB"/>
        </w:rPr>
        <w:t xml:space="preserve">. Vol. 2. Chichester: Wiley, 197–218. </w:t>
      </w:r>
    </w:p>
    <w:p w14:paraId="67CBCA5C" w14:textId="77777777" w:rsidR="00C854D9" w:rsidRPr="005D529F" w:rsidRDefault="00C854D9" w:rsidP="005D529F">
      <w:pPr>
        <w:rPr>
          <w:rFonts w:cs="Times New Roman"/>
          <w:lang w:val="en-GB"/>
        </w:rPr>
      </w:pPr>
      <w:r w:rsidRPr="005D529F">
        <w:rPr>
          <w:rFonts w:cs="Times New Roman"/>
          <w:lang w:val="en-GB"/>
        </w:rPr>
        <w:t>Deaton, A. (2012): “The financial crisis and the well-being of Americans”, Oxford Economic Papers, 64(1): 1–26.</w:t>
      </w:r>
    </w:p>
    <w:p w14:paraId="101F0FD4" w14:textId="77777777" w:rsidR="00C854D9" w:rsidRPr="005D529F" w:rsidRDefault="00C854D9" w:rsidP="005D529F">
      <w:pPr>
        <w:rPr>
          <w:rFonts w:cs="Times New Roman"/>
          <w:lang w:val="en-GB"/>
        </w:rPr>
      </w:pPr>
      <w:r w:rsidRPr="005D529F">
        <w:rPr>
          <w:rFonts w:cs="Times New Roman"/>
          <w:lang w:val="en-GB"/>
        </w:rPr>
        <w:t>Diener, Ed (1994): “Assessing Subjective Well-Being: Progress and Opportunities”, Social Indicators Research, 31:103-157.</w:t>
      </w:r>
    </w:p>
    <w:p w14:paraId="12AEFAC8" w14:textId="77777777" w:rsidR="00C854D9" w:rsidRPr="005D529F" w:rsidRDefault="00C854D9" w:rsidP="005D529F">
      <w:pPr>
        <w:rPr>
          <w:rFonts w:cs="Times New Roman"/>
          <w:lang w:val="en-GB"/>
        </w:rPr>
      </w:pPr>
      <w:r w:rsidRPr="005D529F">
        <w:rPr>
          <w:rFonts w:eastAsia="Times New Roman" w:cs="Times New Roman"/>
          <w:lang w:val="en-GB"/>
        </w:rPr>
        <w:t xml:space="preserve">— </w:t>
      </w:r>
      <w:r w:rsidRPr="005D529F">
        <w:rPr>
          <w:rFonts w:cs="Times New Roman"/>
          <w:lang w:val="en-GB"/>
        </w:rPr>
        <w:t xml:space="preserve"> (1984): “Subjetive Well-Being”, Psychological Bulletin, 95 (3): 542-575.</w:t>
      </w:r>
    </w:p>
    <w:p w14:paraId="5DD77810" w14:textId="77777777" w:rsidR="00C854D9" w:rsidRPr="005D529F" w:rsidRDefault="00C854D9" w:rsidP="005D529F">
      <w:pPr>
        <w:rPr>
          <w:rFonts w:cs="Times New Roman"/>
          <w:lang w:val="en-GB"/>
        </w:rPr>
      </w:pPr>
      <w:r w:rsidRPr="005D529F">
        <w:rPr>
          <w:rFonts w:cs="Times New Roman"/>
          <w:lang w:val="en-GB"/>
        </w:rPr>
        <w:lastRenderedPageBreak/>
        <w:t>Diener, Ed, Inglehart, R. Y Tay, L. (2012): “Theory and Validity of Life Satisfaction Scales”, Social Indicators Research, DOI 10.1007/s11205-012-0076-y</w:t>
      </w:r>
    </w:p>
    <w:p w14:paraId="2E25DA80" w14:textId="77777777" w:rsidR="00C854D9" w:rsidRPr="005D529F" w:rsidRDefault="00C854D9" w:rsidP="005D529F">
      <w:pPr>
        <w:rPr>
          <w:rFonts w:cs="Times New Roman"/>
          <w:lang w:val="en-GB"/>
        </w:rPr>
      </w:pPr>
      <w:r w:rsidRPr="005D529F">
        <w:rPr>
          <w:rFonts w:cs="Times New Roman"/>
          <w:lang w:val="en-GB"/>
        </w:rPr>
        <w:t>Diener, Ed, Wirtz, D., Tov, W., Kim-Prieto, Ch. Choi, D., Oishi, Sh., y Biswas-Diener, R. (2010): “New Well-Being Measures: Short Scales to Assess Flourishing and Positive and Negative Feelings”, Social Indicators Research, 97:143-156.</w:t>
      </w:r>
    </w:p>
    <w:p w14:paraId="7D3C2E6C" w14:textId="77777777" w:rsidR="00C854D9" w:rsidRPr="005D529F" w:rsidRDefault="00C854D9" w:rsidP="005D529F">
      <w:pPr>
        <w:rPr>
          <w:rFonts w:cs="Times New Roman"/>
          <w:lang w:val="en-GB"/>
        </w:rPr>
      </w:pPr>
      <w:r w:rsidRPr="005D529F">
        <w:rPr>
          <w:rFonts w:cs="Times New Roman"/>
          <w:lang w:val="en-GB"/>
        </w:rPr>
        <w:t>Diener, E., Lucas, R. E., &amp; Scollon, C. N. (2006): “Beyond the hedonic treadmill: Revising the adaptation theory of well-being”, American Psychologist, 61:305–314.</w:t>
      </w:r>
    </w:p>
    <w:p w14:paraId="08CDE1D8" w14:textId="77777777" w:rsidR="00C854D9" w:rsidRPr="005D529F" w:rsidRDefault="00C854D9" w:rsidP="005D529F">
      <w:pPr>
        <w:rPr>
          <w:rFonts w:cs="Times New Roman"/>
          <w:lang w:val="en-GB"/>
        </w:rPr>
      </w:pPr>
      <w:r w:rsidRPr="005D529F">
        <w:rPr>
          <w:rFonts w:cs="Times New Roman"/>
          <w:lang w:val="en-GB"/>
        </w:rPr>
        <w:t>Diener, Ed, Eunkook, M.S., Lucas, R.E., Smith, H.L. (1999): “Subjective Well-Being: Three Decades of Progress”, en Psychological Bulletin, 125(2): 276-302.</w:t>
      </w:r>
    </w:p>
    <w:p w14:paraId="5D5DD1A4" w14:textId="77777777" w:rsidR="00C854D9" w:rsidRPr="005D529F" w:rsidRDefault="00C854D9" w:rsidP="005D529F">
      <w:pPr>
        <w:rPr>
          <w:rFonts w:cs="Times New Roman"/>
          <w:lang w:val="en-GB"/>
        </w:rPr>
      </w:pPr>
      <w:r w:rsidRPr="005D529F">
        <w:rPr>
          <w:rFonts w:cs="Times New Roman"/>
          <w:lang w:val="en-GB"/>
        </w:rPr>
        <w:t xml:space="preserve">Diener, Ed., Sandvik, E., Seidlitz, L., &amp; Diener, M. (1993): “The relationship between income and subjective well-being: Relative or absolute?”, </w:t>
      </w:r>
      <w:r w:rsidRPr="005D529F">
        <w:rPr>
          <w:rFonts w:cs="Times New Roman"/>
          <w:iCs/>
          <w:lang w:val="en-GB"/>
        </w:rPr>
        <w:t>Social</w:t>
      </w:r>
      <w:r w:rsidRPr="005D529F">
        <w:rPr>
          <w:rFonts w:cs="Times New Roman"/>
          <w:lang w:val="en-GB"/>
        </w:rPr>
        <w:t xml:space="preserve"> </w:t>
      </w:r>
      <w:r w:rsidRPr="005D529F">
        <w:rPr>
          <w:rFonts w:cs="Times New Roman"/>
          <w:iCs/>
          <w:lang w:val="en-GB"/>
        </w:rPr>
        <w:t>Indicators Research, 28:</w:t>
      </w:r>
      <w:r w:rsidRPr="005D529F">
        <w:rPr>
          <w:rFonts w:cs="Times New Roman"/>
          <w:lang w:val="en-GB"/>
        </w:rPr>
        <w:t>195-223.</w:t>
      </w:r>
    </w:p>
    <w:p w14:paraId="734066ED" w14:textId="77777777" w:rsidR="00C854D9" w:rsidRPr="005D529F" w:rsidRDefault="00C854D9" w:rsidP="005D529F">
      <w:pPr>
        <w:rPr>
          <w:rFonts w:cs="Times New Roman"/>
          <w:lang w:val="en-GB"/>
        </w:rPr>
      </w:pPr>
      <w:r w:rsidRPr="005D529F">
        <w:rPr>
          <w:rFonts w:cs="Times New Roman"/>
          <w:lang w:val="en-GB"/>
        </w:rPr>
        <w:t>Dolan, P., Peasgood, T., &amp; White, M. (2008): “Do we really know what makes us happy? A review of the economic literature on the factors associated with subjective well-being”, Journal of Economic Psychology, 29: 94-122.</w:t>
      </w:r>
    </w:p>
    <w:p w14:paraId="08B996F3" w14:textId="77777777" w:rsidR="00C854D9" w:rsidRPr="005D529F" w:rsidRDefault="00C854D9" w:rsidP="005D529F">
      <w:pPr>
        <w:rPr>
          <w:rFonts w:cs="Times New Roman"/>
          <w:lang w:val="en-GB"/>
        </w:rPr>
      </w:pPr>
      <w:r w:rsidRPr="005D529F">
        <w:rPr>
          <w:rFonts w:cs="Times New Roman"/>
          <w:lang w:val="en-GB"/>
        </w:rPr>
        <w:t>Easterlin, R. A., Angelescu, Mc Vey L., Switek, M., Sawangfa, O., &amp; Zweig, J. S. (2010): The happiness–income paradox revisited. Proceedings of the National Academy of Sciences of the United States of America, 107(52), 22463–22468. doi:</w:t>
      </w:r>
      <w:r w:rsidRPr="005D529F">
        <w:rPr>
          <w:rFonts w:cs="Times New Roman"/>
          <w:color w:val="0000FF"/>
          <w:lang w:val="en-GB"/>
        </w:rPr>
        <w:t>10.1073/pnas.1015962107</w:t>
      </w:r>
      <w:r w:rsidRPr="005D529F">
        <w:rPr>
          <w:rFonts w:cs="Times New Roman"/>
          <w:lang w:val="en-GB"/>
        </w:rPr>
        <w:t>.</w:t>
      </w:r>
    </w:p>
    <w:p w14:paraId="52E09DB3" w14:textId="77777777" w:rsidR="00C854D9" w:rsidRPr="005D529F" w:rsidRDefault="00C854D9" w:rsidP="005D529F">
      <w:pPr>
        <w:rPr>
          <w:rFonts w:cs="Times New Roman"/>
          <w:lang w:val="en-GB"/>
        </w:rPr>
      </w:pPr>
      <w:r w:rsidRPr="005D529F">
        <w:rPr>
          <w:rFonts w:cs="Times New Roman"/>
          <w:lang w:val="en-GB"/>
        </w:rPr>
        <w:t>Easterlin, R.A. (2001): “Income and Happiness: Towards a Unified Theory”, The Economic Journal, 111(473): 465–84.</w:t>
      </w:r>
    </w:p>
    <w:p w14:paraId="0E0EC96D" w14:textId="77777777" w:rsidR="00C854D9" w:rsidRPr="005D529F" w:rsidRDefault="00C854D9" w:rsidP="005D529F">
      <w:pPr>
        <w:rPr>
          <w:rFonts w:cs="Times New Roman"/>
          <w:lang w:val="en-GB"/>
        </w:rPr>
      </w:pPr>
      <w:r w:rsidRPr="005D529F">
        <w:rPr>
          <w:rFonts w:eastAsia="Times New Roman" w:cs="Times New Roman"/>
          <w:lang w:val="en-GB"/>
        </w:rPr>
        <w:t xml:space="preserve">— </w:t>
      </w:r>
      <w:r w:rsidRPr="005D529F">
        <w:rPr>
          <w:rFonts w:cs="Times New Roman"/>
          <w:lang w:val="en-GB"/>
        </w:rPr>
        <w:t xml:space="preserve"> (1974): “Does economic growth improve the human lot? Some empirical evidence”, in: David, P. A. and Melvin, W. R. (eds.), Nations and Households in Economic Growth Palo Alto (CA): Stanford University Press: 98</w:t>
      </w:r>
      <w:r w:rsidRPr="005D529F">
        <w:rPr>
          <w:rFonts w:cs="Times New Roman"/>
          <w:lang w:val="en-GB"/>
        </w:rPr>
        <w:noBreakHyphen/>
        <w:t>125.</w:t>
      </w:r>
    </w:p>
    <w:p w14:paraId="68521590" w14:textId="77777777" w:rsidR="00C854D9" w:rsidRPr="005D529F" w:rsidRDefault="00C854D9" w:rsidP="005D529F">
      <w:pPr>
        <w:rPr>
          <w:rFonts w:cs="Times New Roman"/>
          <w:color w:val="000000"/>
          <w:lang w:val="en-GB"/>
        </w:rPr>
      </w:pPr>
      <w:r w:rsidRPr="005D529F">
        <w:rPr>
          <w:rFonts w:cs="Times New Roman"/>
          <w:color w:val="000000"/>
          <w:lang w:val="en-GB"/>
        </w:rPr>
        <w:t xml:space="preserve">EIGE (2013): Gender Equality Index – Report. Vilna, European Institute of Gender Equality. Available at: </w:t>
      </w:r>
      <w:hyperlink r:id="rId76" w:history="1">
        <w:r w:rsidRPr="005D529F">
          <w:rPr>
            <w:rStyle w:val="Hipervnculo"/>
            <w:rFonts w:cs="Times New Roman"/>
            <w:lang w:val="en-GB"/>
          </w:rPr>
          <w:t>http://eige.europa.eu/content/document/gender-equality-index-report</w:t>
        </w:r>
      </w:hyperlink>
      <w:r w:rsidRPr="005D529F">
        <w:rPr>
          <w:rStyle w:val="Hipervnculo"/>
          <w:rFonts w:cs="Times New Roman"/>
          <w:lang w:val="en-GB"/>
        </w:rPr>
        <w:t>.</w:t>
      </w:r>
    </w:p>
    <w:p w14:paraId="301233A5" w14:textId="77777777" w:rsidR="00C854D9" w:rsidRPr="005D529F" w:rsidRDefault="00C854D9" w:rsidP="005D529F">
      <w:pPr>
        <w:rPr>
          <w:rFonts w:cs="Times New Roman"/>
          <w:lang w:val="en-GB"/>
        </w:rPr>
      </w:pPr>
      <w:r w:rsidRPr="005D529F">
        <w:rPr>
          <w:rFonts w:cs="Times New Roman"/>
          <w:lang w:val="en-GB"/>
        </w:rPr>
        <w:t xml:space="preserve">Eurofound (2012): </w:t>
      </w:r>
      <w:r w:rsidRPr="005D529F">
        <w:rPr>
          <w:rFonts w:cs="Times New Roman"/>
          <w:iCs/>
          <w:lang w:val="en-GB"/>
        </w:rPr>
        <w:t>Third European Quality of Life Survey - Quality of life in Europe: Impacts of the crisis</w:t>
      </w:r>
      <w:r w:rsidRPr="005D529F">
        <w:rPr>
          <w:rFonts w:cs="Times New Roman"/>
          <w:lang w:val="en-GB"/>
        </w:rPr>
        <w:t xml:space="preserve">, Luxembourg: Publications Office of the European Union, </w:t>
      </w:r>
    </w:p>
    <w:p w14:paraId="4553FDDC" w14:textId="77777777" w:rsidR="00C854D9" w:rsidRPr="005D529F" w:rsidRDefault="00C854D9" w:rsidP="005D529F">
      <w:pPr>
        <w:rPr>
          <w:rFonts w:cs="Times New Roman"/>
          <w:lang w:val="en-GB"/>
        </w:rPr>
      </w:pPr>
      <w:r w:rsidRPr="005D529F">
        <w:rPr>
          <w:rFonts w:cs="Times New Roman"/>
          <w:lang w:val="en-GB"/>
        </w:rPr>
        <w:t>Fallas López, L. A. (2008): “La eutimia  como correlato de una vida ética sostenible”, Rev. Filosofía, Univ. Costa Rica XLVI (117/118):39-48.</w:t>
      </w:r>
    </w:p>
    <w:p w14:paraId="423EAE40" w14:textId="77777777" w:rsidR="00C854D9" w:rsidRPr="005D529F" w:rsidRDefault="00C854D9" w:rsidP="005D529F">
      <w:pPr>
        <w:rPr>
          <w:rFonts w:cs="Times New Roman"/>
          <w:lang w:val="en-GB"/>
        </w:rPr>
      </w:pPr>
      <w:r w:rsidRPr="005D529F">
        <w:rPr>
          <w:rFonts w:cs="Times New Roman"/>
          <w:lang w:val="en-GB"/>
        </w:rPr>
        <w:t>Felipe VI (2014): “Mensaje de su Majestad el Rey en su Proclamación ante las Cortes Generales”. 19-06-2014. Madrid,</w:t>
      </w:r>
    </w:p>
    <w:p w14:paraId="79AF921B" w14:textId="77777777" w:rsidR="00C854D9" w:rsidRPr="005D529F" w:rsidRDefault="00C854D9" w:rsidP="005D529F">
      <w:pPr>
        <w:rPr>
          <w:rFonts w:cs="Times New Roman"/>
          <w:lang w:val="en-GB"/>
        </w:rPr>
      </w:pPr>
      <w:r w:rsidRPr="005D529F">
        <w:rPr>
          <w:rFonts w:cs="Times New Roman"/>
          <w:lang w:val="en-GB"/>
        </w:rPr>
        <w:t>Ferrer-i-Carbonell, A. (2012): Happiness economics, en SERIEs,  DOI 10.1007/s13209-012-0086-7.</w:t>
      </w:r>
    </w:p>
    <w:p w14:paraId="5F85133D" w14:textId="77777777" w:rsidR="00C854D9" w:rsidRPr="005D529F" w:rsidRDefault="00C854D9" w:rsidP="005D529F">
      <w:pPr>
        <w:rPr>
          <w:rFonts w:cs="Times New Roman"/>
          <w:lang w:val="en-GB"/>
        </w:rPr>
      </w:pPr>
      <w:r w:rsidRPr="005D529F">
        <w:rPr>
          <w:rFonts w:cs="Times New Roman"/>
          <w:lang w:val="en-GB"/>
        </w:rPr>
        <w:lastRenderedPageBreak/>
        <w:t>FOESSA (2014): Análisis y perspectivas, 2014. Precariedad y Cohesión social, Madrid: Fundación FOESSA.</w:t>
      </w:r>
    </w:p>
    <w:p w14:paraId="0F3FE7B3" w14:textId="77777777" w:rsidR="00C854D9" w:rsidRPr="005D529F" w:rsidRDefault="00C854D9" w:rsidP="005D529F">
      <w:pPr>
        <w:rPr>
          <w:rFonts w:cs="Times New Roman"/>
          <w:lang w:val="en-GB"/>
        </w:rPr>
      </w:pPr>
      <w:r w:rsidRPr="005D529F">
        <w:rPr>
          <w:rFonts w:cs="Times New Roman"/>
          <w:lang w:val="en-GB"/>
        </w:rPr>
        <w:t>FOESSA (2008): VI Informe sobre exclusión y desarrollo social en España. Madrid: Fundación FOESSA.</w:t>
      </w:r>
    </w:p>
    <w:p w14:paraId="21A87E05" w14:textId="77777777" w:rsidR="00C854D9" w:rsidRPr="005D529F" w:rsidRDefault="00C854D9" w:rsidP="005D529F">
      <w:pPr>
        <w:rPr>
          <w:rFonts w:cs="Times New Roman"/>
          <w:lang w:val="en-GB"/>
        </w:rPr>
      </w:pPr>
      <w:r w:rsidRPr="005D529F">
        <w:rPr>
          <w:rFonts w:cs="Times New Roman"/>
          <w:lang w:val="en-GB"/>
        </w:rPr>
        <w:t>Frey, B. S. (2008): Happiness: A revolution in economics, Massachusetts: MIT.</w:t>
      </w:r>
    </w:p>
    <w:p w14:paraId="57F73DF0" w14:textId="77777777" w:rsidR="00C854D9" w:rsidRPr="005D529F" w:rsidRDefault="00C854D9" w:rsidP="005D529F">
      <w:pPr>
        <w:rPr>
          <w:rFonts w:cs="Times New Roman"/>
          <w:lang w:val="en-GB"/>
        </w:rPr>
      </w:pPr>
      <w:r w:rsidRPr="005D529F">
        <w:rPr>
          <w:rFonts w:cs="Times New Roman"/>
          <w:lang w:val="en-GB"/>
        </w:rPr>
        <w:t>Ganzeboom, H. B. G. and Treiman, D. J. (1996): “Internationally Comparable Measures of Occupational Status for the 1988 International Standard Classification of Occupations”, Social Science Research, 25: 201-239.</w:t>
      </w:r>
    </w:p>
    <w:p w14:paraId="430FFBE6" w14:textId="77777777" w:rsidR="00C854D9" w:rsidRPr="005D529F" w:rsidRDefault="00C854D9" w:rsidP="005D529F">
      <w:pPr>
        <w:rPr>
          <w:rFonts w:cs="Times New Roman"/>
          <w:lang w:val="en-GB"/>
        </w:rPr>
      </w:pPr>
      <w:r w:rsidRPr="005D529F">
        <w:rPr>
          <w:rFonts w:cs="Times New Roman"/>
          <w:lang w:val="en-GB"/>
        </w:rPr>
        <w:t xml:space="preserve">Ganzeboom, H. B. G., De Graaf, P. M., and Treiman, D. J. (1992): ‘‘A standard international socio-economic index of occupational status’’, Social Science Research, </w:t>
      </w:r>
      <w:r w:rsidRPr="005D529F">
        <w:rPr>
          <w:rFonts w:cs="Times New Roman"/>
          <w:bCs/>
          <w:lang w:val="en-GB"/>
        </w:rPr>
        <w:t xml:space="preserve">21, </w:t>
      </w:r>
      <w:r w:rsidRPr="005D529F">
        <w:rPr>
          <w:rFonts w:cs="Times New Roman"/>
          <w:lang w:val="en-GB"/>
        </w:rPr>
        <w:t>1–56.</w:t>
      </w:r>
    </w:p>
    <w:p w14:paraId="573F8CFB" w14:textId="77777777" w:rsidR="00C854D9" w:rsidRPr="005D529F" w:rsidRDefault="00C854D9" w:rsidP="005D529F">
      <w:pPr>
        <w:rPr>
          <w:rFonts w:cs="Times New Roman"/>
          <w:lang w:val="en-GB"/>
        </w:rPr>
      </w:pPr>
      <w:r w:rsidRPr="005D529F">
        <w:rPr>
          <w:rFonts w:cs="Times New Roman"/>
          <w:lang w:val="en-GB"/>
        </w:rPr>
        <w:t>García Gual, C., Lledó, E. y Hadot, P. (2013): Filosofía para la felicidad. Epicuro. Madrid:Errata Naturae.</w:t>
      </w:r>
    </w:p>
    <w:p w14:paraId="3C105EA3" w14:textId="77777777" w:rsidR="00C854D9" w:rsidRPr="005D529F" w:rsidRDefault="00C854D9" w:rsidP="005D529F">
      <w:pPr>
        <w:rPr>
          <w:rFonts w:cs="Times New Roman"/>
          <w:lang w:val="en-GB"/>
        </w:rPr>
      </w:pPr>
      <w:r w:rsidRPr="005D529F">
        <w:rPr>
          <w:rFonts w:cs="Times New Roman"/>
          <w:lang w:val="en-GB"/>
        </w:rPr>
        <w:t>Gorsuch, R. L. (1983): Factor Analysis. Hillsdale: Lawrence Erlbaum Associates.</w:t>
      </w:r>
    </w:p>
    <w:p w14:paraId="5B0B6ACE" w14:textId="77777777" w:rsidR="00C854D9" w:rsidRPr="005D529F" w:rsidRDefault="00C854D9" w:rsidP="005D529F">
      <w:pPr>
        <w:rPr>
          <w:rFonts w:cs="Times New Roman"/>
          <w:lang w:val="en-GB"/>
        </w:rPr>
      </w:pPr>
      <w:r w:rsidRPr="005D529F">
        <w:rPr>
          <w:rFonts w:cs="Times New Roman"/>
          <w:lang w:val="en-GB"/>
        </w:rPr>
        <w:t xml:space="preserve">Gudmundsdottir, D. G. (2011): The Impact of Economic Crisis on Happiness, Social Indicator Research, DOI 10.1007/s11205-011-9973-8 </w:t>
      </w:r>
    </w:p>
    <w:p w14:paraId="600D47A3" w14:textId="77777777" w:rsidR="00C854D9" w:rsidRPr="005D529F" w:rsidRDefault="00C854D9" w:rsidP="005D529F">
      <w:pPr>
        <w:rPr>
          <w:rFonts w:cs="Times New Roman"/>
          <w:lang w:val="en-GB"/>
        </w:rPr>
      </w:pPr>
      <w:r w:rsidRPr="005D529F">
        <w:rPr>
          <w:rFonts w:cs="Times New Roman"/>
          <w:lang w:val="en-GB"/>
        </w:rPr>
        <w:t>Guthrie, W. K. C  (1986): Historia de la filosofía griega, II. La tradición presocrática desde Parménides hasta Demócrito. Madrid:Gredos.</w:t>
      </w:r>
    </w:p>
    <w:p w14:paraId="78821A25" w14:textId="77777777" w:rsidR="00C854D9" w:rsidRPr="005D529F" w:rsidRDefault="00C854D9" w:rsidP="005D529F">
      <w:pPr>
        <w:rPr>
          <w:rFonts w:cs="Times New Roman"/>
          <w:lang w:val="en-GB"/>
        </w:rPr>
      </w:pPr>
      <w:r w:rsidRPr="005D529F">
        <w:rPr>
          <w:rFonts w:cs="Times New Roman"/>
          <w:lang w:val="en-GB"/>
        </w:rPr>
        <w:t>Hadot, P. (2013): “Qué era la felicidad para los filósofos antiguos”, en C. García Gual, E. Lledó y P. Hadot Filosofía para la felicidad. Epicuro. Madrid: Errata Naturae: 45</w:t>
      </w:r>
      <w:r w:rsidRPr="005D529F">
        <w:rPr>
          <w:rFonts w:cs="Times New Roman"/>
          <w:lang w:val="en-GB"/>
        </w:rPr>
        <w:noBreakHyphen/>
        <w:t>65.</w:t>
      </w:r>
    </w:p>
    <w:p w14:paraId="3231E6CB" w14:textId="77777777" w:rsidR="00C854D9" w:rsidRPr="005D529F" w:rsidRDefault="00C854D9" w:rsidP="005D529F">
      <w:pPr>
        <w:rPr>
          <w:rFonts w:cs="Times New Roman"/>
          <w:lang w:val="en-GB"/>
        </w:rPr>
      </w:pPr>
      <w:r w:rsidRPr="005D529F">
        <w:rPr>
          <w:rFonts w:cs="Times New Roman"/>
          <w:lang w:val="en-GB"/>
        </w:rPr>
        <w:t>Haller, M. y Hadler, M. (2006): “How social relations and Structures can produce happiness and unhappiness: an international comparative analysis”, Social Indictors Research, 75:169-216.</w:t>
      </w:r>
    </w:p>
    <w:p w14:paraId="3F6FBC35" w14:textId="77777777" w:rsidR="00C854D9" w:rsidRPr="005D529F" w:rsidRDefault="00C854D9" w:rsidP="005D529F">
      <w:pPr>
        <w:rPr>
          <w:rFonts w:cs="Times New Roman"/>
          <w:lang w:val="en-GB"/>
        </w:rPr>
      </w:pPr>
      <w:r w:rsidRPr="005D529F">
        <w:rPr>
          <w:rFonts w:cs="Times New Roman"/>
          <w:lang w:val="en-GB"/>
        </w:rPr>
        <w:t>Haller, M. y Hadler, M. (2006): “How Social Relations and Structures Can Produce Happiness and Unhappiness: An International Comparative Analysis”, Social Indicators Research, 75:169:216.</w:t>
      </w:r>
    </w:p>
    <w:p w14:paraId="3C941B84" w14:textId="77777777" w:rsidR="00C854D9" w:rsidRPr="005D529F" w:rsidRDefault="00C854D9" w:rsidP="005D529F">
      <w:pPr>
        <w:rPr>
          <w:rFonts w:cs="Times"/>
          <w:lang w:val="es-ES"/>
        </w:rPr>
      </w:pPr>
      <w:r w:rsidRPr="005D529F">
        <w:rPr>
          <w:rFonts w:cs="Times"/>
          <w:lang w:val="es-ES"/>
        </w:rPr>
        <w:t>Hammer, T. (2003): Youth Unemployment and Social Exclusion. A Comparative Study. Bristol, The Policy Press.</w:t>
      </w:r>
    </w:p>
    <w:p w14:paraId="18F05DC3" w14:textId="77777777" w:rsidR="00C854D9" w:rsidRPr="005D529F" w:rsidRDefault="00C854D9" w:rsidP="005D529F">
      <w:pPr>
        <w:rPr>
          <w:rFonts w:cs="Times New Roman"/>
          <w:lang w:val="en-GB"/>
        </w:rPr>
      </w:pPr>
      <w:r w:rsidRPr="005D529F">
        <w:rPr>
          <w:rFonts w:cs="Times New Roman"/>
          <w:lang w:val="en-GB"/>
        </w:rPr>
        <w:t>Helliwell, J. F. (2002): How’s Life? Combining individual and National variables to explain subjective well-being, Working Paper 9065, National Bureau of Economic Research, Cambridge, MA.</w:t>
      </w:r>
    </w:p>
    <w:p w14:paraId="5849CE44" w14:textId="77777777" w:rsidR="00C854D9" w:rsidRPr="005D529F" w:rsidRDefault="00C854D9" w:rsidP="005D529F">
      <w:pPr>
        <w:rPr>
          <w:rFonts w:cs="Times New Roman"/>
          <w:lang w:val="en-GB"/>
        </w:rPr>
      </w:pPr>
      <w:r w:rsidRPr="005D529F">
        <w:rPr>
          <w:rFonts w:cs="Times New Roman"/>
          <w:lang w:val="en-GB"/>
        </w:rPr>
        <w:t>Hun, B. (2012): La sociedad del cansancio. Barcelona: Herder.</w:t>
      </w:r>
    </w:p>
    <w:p w14:paraId="227AEB09" w14:textId="77777777" w:rsidR="00C854D9" w:rsidRPr="005D529F" w:rsidRDefault="00C854D9" w:rsidP="005D529F">
      <w:pPr>
        <w:rPr>
          <w:rFonts w:cs="Times New Roman"/>
          <w:lang w:val="en-GB"/>
        </w:rPr>
      </w:pPr>
      <w:r w:rsidRPr="005D529F">
        <w:rPr>
          <w:rFonts w:cs="Times New Roman"/>
          <w:lang w:val="en-GB"/>
        </w:rPr>
        <w:t>Huppert, F. A. y So, T.C. (2009): What percentage of people in Europe are florishing and what charaterises them? University of Cambridge, The Well-being Institute.</w:t>
      </w:r>
    </w:p>
    <w:p w14:paraId="60977410" w14:textId="77777777" w:rsidR="00C854D9" w:rsidRPr="005D529F" w:rsidRDefault="00C854D9" w:rsidP="005D529F">
      <w:pPr>
        <w:rPr>
          <w:rFonts w:cs="Times New Roman"/>
          <w:lang w:val="en-GB"/>
        </w:rPr>
      </w:pPr>
      <w:r w:rsidRPr="005D529F">
        <w:rPr>
          <w:rFonts w:cs="Times New Roman"/>
          <w:lang w:val="en-GB"/>
        </w:rPr>
        <w:lastRenderedPageBreak/>
        <w:t>Huppert, F.A. y So, T..T.C. (2013): “Flourishing Across Europe: Application of a New Conceptual Framework for Defining Well-Being”, Social Indicators Research, 110:837-861.</w:t>
      </w:r>
    </w:p>
    <w:p w14:paraId="2D4C61B4" w14:textId="77777777" w:rsidR="00C854D9" w:rsidRPr="005D529F" w:rsidRDefault="00C854D9" w:rsidP="005D529F">
      <w:pPr>
        <w:rPr>
          <w:rFonts w:cs="Times New Roman"/>
          <w:lang w:val="en-GB"/>
        </w:rPr>
      </w:pPr>
      <w:r w:rsidRPr="005D529F">
        <w:rPr>
          <w:rFonts w:cs="Times New Roman"/>
          <w:lang w:val="en-GB"/>
        </w:rPr>
        <w:t>Huppert, F.A., Marks, N., Siegrist, J., Vázquez, C., &amp; Vitterso, J. (2010): “Personal and Social Well-being”. Available at:</w:t>
      </w:r>
      <w:hyperlink r:id="rId77" w:history="1">
        <w:r w:rsidRPr="005D529F">
          <w:rPr>
            <w:rFonts w:cs="Times New Roman"/>
            <w:lang w:val="en-GB"/>
          </w:rPr>
          <w:t>http://www.europeansocialsurvey.org/index.php?option=com_content&amp;view=article&amp;id=321&amp;Itemid=388</w:t>
        </w:r>
      </w:hyperlink>
    </w:p>
    <w:p w14:paraId="664D12B3" w14:textId="77777777" w:rsidR="00C854D9" w:rsidRPr="005D529F" w:rsidRDefault="00C854D9" w:rsidP="005D529F">
      <w:pPr>
        <w:rPr>
          <w:rFonts w:cs="Times New Roman"/>
          <w:lang w:val="en-GB"/>
        </w:rPr>
      </w:pPr>
      <w:r w:rsidRPr="005D529F">
        <w:rPr>
          <w:rFonts w:cs="Times New Roman"/>
          <w:lang w:val="en-GB"/>
        </w:rPr>
        <w:t>Huta, V. y Waterman, A.S. (2013): “Eudaimonia and its Distinction from Hedonia: Devoloping a Classification and Terminology for Understanding Conceptual and Operational Definitions”, Journal of Happiness Studies, DOI 10.1007/s10902-013-9485-0</w:t>
      </w:r>
    </w:p>
    <w:p w14:paraId="35D354D7" w14:textId="77777777" w:rsidR="00C854D9" w:rsidRPr="005D529F" w:rsidRDefault="00C854D9" w:rsidP="005D529F">
      <w:pPr>
        <w:rPr>
          <w:rFonts w:cs="Times New Roman"/>
          <w:lang w:val="en-GB"/>
        </w:rPr>
      </w:pPr>
      <w:r w:rsidRPr="005D529F">
        <w:rPr>
          <w:rFonts w:cs="Times New Roman"/>
          <w:lang w:val="en-GB"/>
        </w:rPr>
        <w:t>Izquierdo, A. (2009): “El modelo de Inmigración y los riesgos de exclusión”, en Víctor Reyes Ayala (coord.) VI Informe sobre exclusión y desarrollo social en España: 2008, Madrid: FOESSA: 599-679.</w:t>
      </w:r>
    </w:p>
    <w:p w14:paraId="076A8098" w14:textId="77777777" w:rsidR="00C854D9" w:rsidRPr="005D529F" w:rsidRDefault="00C854D9" w:rsidP="005D529F">
      <w:pPr>
        <w:rPr>
          <w:rFonts w:cs="Times New Roman"/>
          <w:lang w:val="en-GB"/>
        </w:rPr>
      </w:pPr>
      <w:r w:rsidRPr="005D529F">
        <w:rPr>
          <w:rFonts w:cs="Times New Roman"/>
          <w:lang w:val="en-GB"/>
        </w:rPr>
        <w:t>Jahoda, M., Lazarsfeld, P.F. &amp; Zeisec, H., (1933): Die Arbeitslosen von Marienthal, Leizpig: Hirzel.</w:t>
      </w:r>
    </w:p>
    <w:p w14:paraId="1BD3FB72" w14:textId="77777777" w:rsidR="00C854D9" w:rsidRPr="005D529F" w:rsidRDefault="00C854D9" w:rsidP="005D529F">
      <w:pPr>
        <w:rPr>
          <w:rFonts w:cs="Times New Roman"/>
          <w:lang w:val="en-GB"/>
        </w:rPr>
      </w:pPr>
      <w:r w:rsidRPr="005D529F">
        <w:rPr>
          <w:rFonts w:cs="Times New Roman"/>
          <w:lang w:val="en-GB"/>
        </w:rPr>
        <w:t>Jahoda, M. (1979): “The impact of unemployment in the 1930's and the 1970's”, Bulletin of the British Psychological Society, 32:309-314.</w:t>
      </w:r>
    </w:p>
    <w:p w14:paraId="2E620F0B" w14:textId="77777777" w:rsidR="00C854D9" w:rsidRPr="005D529F" w:rsidRDefault="00C854D9" w:rsidP="005D529F">
      <w:pPr>
        <w:rPr>
          <w:rFonts w:cs="Times New Roman"/>
          <w:lang w:val="en-GB"/>
        </w:rPr>
      </w:pPr>
      <w:r w:rsidRPr="005D529F">
        <w:rPr>
          <w:rFonts w:cs="Times New Roman"/>
          <w:lang w:val="en-GB"/>
        </w:rPr>
        <w:t>Jahoda, M. (1982): Employment and unemployment. A social-psychological analysis Cambridge: Cambridge University Press.</w:t>
      </w:r>
    </w:p>
    <w:p w14:paraId="02E7EF8B" w14:textId="77777777" w:rsidR="00C854D9" w:rsidRPr="005D529F" w:rsidRDefault="00C854D9" w:rsidP="005D529F">
      <w:pPr>
        <w:rPr>
          <w:rFonts w:cs="Times New Roman"/>
          <w:lang w:val="en-GB"/>
        </w:rPr>
      </w:pPr>
      <w:r w:rsidRPr="005D529F">
        <w:rPr>
          <w:rFonts w:cs="Times New Roman"/>
          <w:lang w:val="en-GB"/>
        </w:rPr>
        <w:t>Jivraj, S., Nazroo, J., Vanhoutte, B. y Chandola, T. (2013): “Age, ageing and subjective well-being in later life”, CCSR, Centre for Census and Survey Research:1-20.</w:t>
      </w:r>
    </w:p>
    <w:p w14:paraId="16DD531B" w14:textId="77777777" w:rsidR="00C854D9" w:rsidRPr="005D529F" w:rsidRDefault="00C854D9" w:rsidP="005D529F">
      <w:pPr>
        <w:rPr>
          <w:rFonts w:cs="Times New Roman"/>
          <w:lang w:val="en-GB"/>
        </w:rPr>
      </w:pPr>
      <w:r w:rsidRPr="005D529F">
        <w:rPr>
          <w:rFonts w:cs="Times New Roman"/>
          <w:lang w:val="en-GB"/>
        </w:rPr>
        <w:t>Kahneman, D. y Deaton, A. (2010): “High income improves evaluation of life but not emotional well-being”, PNAS, 107(38):16489-16493.</w:t>
      </w:r>
    </w:p>
    <w:p w14:paraId="43CA01B6" w14:textId="77777777" w:rsidR="00C854D9" w:rsidRPr="005D529F" w:rsidRDefault="00C854D9" w:rsidP="005D529F">
      <w:pPr>
        <w:rPr>
          <w:rFonts w:cs="Times New Roman"/>
          <w:lang w:val="en-GB"/>
        </w:rPr>
      </w:pPr>
      <w:r w:rsidRPr="005D529F">
        <w:rPr>
          <w:rFonts w:cs="Times New Roman"/>
          <w:lang w:val="en-GB"/>
        </w:rPr>
        <w:t>Kahneman, D. y Krueger, A. (2006): “Developments in the measurements of subjective well-being”, The Journal of Economic Perspectives, 20:3-24.</w:t>
      </w:r>
    </w:p>
    <w:p w14:paraId="37B077DD" w14:textId="77777777" w:rsidR="00C854D9" w:rsidRPr="005D529F" w:rsidRDefault="00C854D9" w:rsidP="005D529F">
      <w:pPr>
        <w:rPr>
          <w:rFonts w:cs="Times New Roman"/>
          <w:lang w:val="en-GB"/>
        </w:rPr>
      </w:pPr>
      <w:r w:rsidRPr="005D529F">
        <w:rPr>
          <w:rFonts w:cs="Times New Roman"/>
          <w:lang w:val="en-GB"/>
        </w:rPr>
        <w:t xml:space="preserve">Kasser T, Ryan RM. (1996): Further examining the American dream: differential correlates of intrinsic and extrinsic goals, </w:t>
      </w:r>
      <w:r w:rsidRPr="005D529F">
        <w:rPr>
          <w:rFonts w:cs="Times New Roman"/>
          <w:iCs/>
          <w:lang w:val="en-GB"/>
        </w:rPr>
        <w:t xml:space="preserve">Pers. Soc. Psychol. Bull. </w:t>
      </w:r>
      <w:r w:rsidRPr="005D529F">
        <w:rPr>
          <w:rFonts w:cs="Times New Roman"/>
          <w:lang w:val="en-GB"/>
        </w:rPr>
        <w:t>22:280–87.</w:t>
      </w:r>
    </w:p>
    <w:p w14:paraId="07F31D79" w14:textId="77777777" w:rsidR="00C854D9" w:rsidRPr="005D529F" w:rsidRDefault="00C854D9" w:rsidP="005D529F">
      <w:pPr>
        <w:rPr>
          <w:rFonts w:cs="Times New Roman"/>
          <w:lang w:val="en-GB"/>
        </w:rPr>
      </w:pPr>
      <w:r w:rsidRPr="005D529F">
        <w:rPr>
          <w:rFonts w:cs="Times New Roman"/>
          <w:lang w:val="en-GB"/>
        </w:rPr>
        <w:t xml:space="preserve">Kasser T, Ryan RM. (1993): “A dark side of the American dream: correlates of financial success as a central life aspiration” </w:t>
      </w:r>
      <w:r w:rsidRPr="005D529F">
        <w:rPr>
          <w:rFonts w:cs="Times New Roman"/>
          <w:iCs/>
          <w:lang w:val="en-GB"/>
        </w:rPr>
        <w:t xml:space="preserve">J. Pers. Soc. Psychol. </w:t>
      </w:r>
      <w:r w:rsidRPr="005D529F">
        <w:rPr>
          <w:rFonts w:cs="Times New Roman"/>
          <w:lang w:val="en-GB"/>
        </w:rPr>
        <w:t>65:410–22.</w:t>
      </w:r>
    </w:p>
    <w:p w14:paraId="14BE69AD" w14:textId="166725A8" w:rsidR="00C854D9" w:rsidRPr="005D529F" w:rsidRDefault="00C854D9" w:rsidP="005D529F">
      <w:pPr>
        <w:rPr>
          <w:rFonts w:cs="Times New Roman"/>
          <w:color w:val="0E0E11"/>
          <w:lang w:val="en-GB"/>
        </w:rPr>
      </w:pPr>
      <w:r w:rsidRPr="005D529F">
        <w:rPr>
          <w:rFonts w:cs="Times New Roman"/>
          <w:lang w:val="en-GB"/>
        </w:rPr>
        <w:t>Kemper, Th. D. (2014): “Sta</w:t>
      </w:r>
      <w:r w:rsidR="00247789" w:rsidRPr="005D529F">
        <w:rPr>
          <w:rFonts w:cs="Times New Roman"/>
          <w:lang w:val="en-GB"/>
        </w:rPr>
        <w:t>t</w:t>
      </w:r>
      <w:r w:rsidRPr="005D529F">
        <w:rPr>
          <w:rFonts w:cs="Times New Roman"/>
          <w:lang w:val="en-GB"/>
        </w:rPr>
        <w:t xml:space="preserve">us, power and felicity”, en J. E. Stets y J. H. Turner (eds), Handbook of the Sociology of Emotions: Volume II. </w:t>
      </w:r>
      <w:r w:rsidRPr="005D529F">
        <w:rPr>
          <w:rFonts w:cs="Times New Roman"/>
          <w:color w:val="0E0E11"/>
          <w:lang w:val="en-GB"/>
        </w:rPr>
        <w:t>Dordrecht</w:t>
      </w:r>
      <w:r w:rsidR="00247789" w:rsidRPr="005D529F">
        <w:rPr>
          <w:rFonts w:cs="Times New Roman"/>
          <w:color w:val="0E0E11"/>
          <w:lang w:val="en-GB"/>
        </w:rPr>
        <w:t>: Springer</w:t>
      </w:r>
      <w:r w:rsidRPr="005D529F">
        <w:rPr>
          <w:rFonts w:cs="Times New Roman"/>
          <w:color w:val="0E0E11"/>
          <w:lang w:val="en-GB"/>
        </w:rPr>
        <w:t>.</w:t>
      </w:r>
    </w:p>
    <w:p w14:paraId="67E8C698" w14:textId="77777777" w:rsidR="00C854D9" w:rsidRPr="005D529F" w:rsidRDefault="00C854D9" w:rsidP="005D529F">
      <w:pPr>
        <w:rPr>
          <w:rFonts w:cs="Times New Roman"/>
          <w:lang w:val="en-GB"/>
        </w:rPr>
      </w:pPr>
      <w:r w:rsidRPr="005D529F">
        <w:rPr>
          <w:rFonts w:eastAsia="Times New Roman" w:cs="Times New Roman"/>
          <w:lang w:val="en-GB"/>
        </w:rPr>
        <w:t xml:space="preserve">— </w:t>
      </w:r>
      <w:r w:rsidRPr="005D529F">
        <w:rPr>
          <w:rFonts w:cs="Times New Roman"/>
          <w:lang w:val="en-GB"/>
        </w:rPr>
        <w:t xml:space="preserve"> (2006): “Power and Status and the Power-Status Theory of Emotions”, en J. E. Stets and J. H. Turner (eds), Handbook of the Sociology of Emotions. Boston, MA: Springer Science.</w:t>
      </w:r>
    </w:p>
    <w:p w14:paraId="6817B0A0" w14:textId="77777777" w:rsidR="00C854D9" w:rsidRPr="005D529F" w:rsidRDefault="00C854D9" w:rsidP="005D529F">
      <w:pPr>
        <w:rPr>
          <w:rFonts w:cs="Times New Roman"/>
          <w:lang w:val="en-GB"/>
        </w:rPr>
      </w:pPr>
      <w:r w:rsidRPr="005D529F">
        <w:rPr>
          <w:rFonts w:eastAsia="Times New Roman" w:cs="Times New Roman"/>
          <w:lang w:val="en-GB"/>
        </w:rPr>
        <w:lastRenderedPageBreak/>
        <w:t xml:space="preserve">— </w:t>
      </w:r>
      <w:r w:rsidRPr="005D529F">
        <w:rPr>
          <w:rFonts w:cs="Times New Roman"/>
          <w:lang w:val="en-GB"/>
        </w:rPr>
        <w:t xml:space="preserve"> (1987): “How Many emotions Are There? Wedding the Social an the Autonomic Components”, en The American Journal of Sociology, Vol. 93(2): 263-289.</w:t>
      </w:r>
    </w:p>
    <w:p w14:paraId="6FDFCA2E" w14:textId="77777777" w:rsidR="00C854D9" w:rsidRPr="005D529F" w:rsidRDefault="00C854D9" w:rsidP="005D529F">
      <w:pPr>
        <w:rPr>
          <w:rFonts w:cs="Times New Roman"/>
          <w:lang w:val="en-GB"/>
        </w:rPr>
      </w:pPr>
      <w:r w:rsidRPr="005D529F">
        <w:rPr>
          <w:rFonts w:eastAsia="Times New Roman" w:cs="Times New Roman"/>
          <w:lang w:val="en-GB"/>
        </w:rPr>
        <w:t xml:space="preserve">— </w:t>
      </w:r>
      <w:r w:rsidRPr="005D529F">
        <w:rPr>
          <w:rFonts w:cs="Times New Roman"/>
          <w:lang w:val="en-GB"/>
        </w:rPr>
        <w:t>(1981): “Social Constructionist and Positivist Approaches to the Sociology of  Emotions”, American Journal of Sociology, 87 (2): 336-362.</w:t>
      </w:r>
    </w:p>
    <w:p w14:paraId="775C41AA" w14:textId="77777777" w:rsidR="00C854D9" w:rsidRPr="005D529F" w:rsidRDefault="00C854D9" w:rsidP="005D529F">
      <w:pPr>
        <w:rPr>
          <w:rFonts w:cs="Times New Roman"/>
          <w:lang w:val="en-GB"/>
        </w:rPr>
      </w:pPr>
      <w:r w:rsidRPr="005D529F">
        <w:rPr>
          <w:rFonts w:eastAsia="Times New Roman" w:cs="Times New Roman"/>
          <w:lang w:val="en-GB"/>
        </w:rPr>
        <w:t xml:space="preserve">— </w:t>
      </w:r>
      <w:r w:rsidRPr="005D529F">
        <w:rPr>
          <w:rFonts w:cs="Times New Roman"/>
          <w:lang w:val="en-GB"/>
        </w:rPr>
        <w:t>(1978): A Social Interactional Theory of Emotions. New York: Wiley.</w:t>
      </w:r>
    </w:p>
    <w:p w14:paraId="295019CF" w14:textId="77777777" w:rsidR="00C854D9" w:rsidRPr="005D529F" w:rsidRDefault="00C854D9" w:rsidP="005D529F">
      <w:pPr>
        <w:rPr>
          <w:rFonts w:cs="Times New Roman"/>
          <w:lang w:val="en-GB"/>
        </w:rPr>
      </w:pPr>
      <w:r w:rsidRPr="005D529F">
        <w:rPr>
          <w:rFonts w:cs="Times New Roman"/>
          <w:lang w:val="en-GB"/>
        </w:rPr>
        <w:t>Kemper, Th. D. and Collins, R. (1990) “Dimensions of Microinteraction”, The American Journal of Sociology, 96(1): 32-68.</w:t>
      </w:r>
    </w:p>
    <w:p w14:paraId="00FAE834" w14:textId="77777777" w:rsidR="00C854D9" w:rsidRPr="005D529F" w:rsidRDefault="00C854D9" w:rsidP="005D529F">
      <w:pPr>
        <w:rPr>
          <w:rFonts w:cs="Times New Roman"/>
          <w:lang w:val="en-GB"/>
        </w:rPr>
      </w:pPr>
      <w:r w:rsidRPr="005D529F">
        <w:rPr>
          <w:rFonts w:cs="Times New Roman"/>
          <w:lang w:val="en-GB"/>
        </w:rPr>
        <w:t xml:space="preserve">Kingdon, G. G., y Knight, J. (2004): Subjective well-being poverty versus income poverty and capabilities poverty?, GPRG-WPS-003. Global Poverty Research Group. Website: </w:t>
      </w:r>
      <w:hyperlink r:id="rId78" w:history="1">
        <w:r w:rsidRPr="005D529F">
          <w:rPr>
            <w:rStyle w:val="Hipervnculo"/>
            <w:rFonts w:cs="Times New Roman"/>
            <w:lang w:val="en-GB"/>
          </w:rPr>
          <w:t>http://www.gprg.org/</w:t>
        </w:r>
      </w:hyperlink>
    </w:p>
    <w:p w14:paraId="34AAC9BD" w14:textId="77777777" w:rsidR="00C854D9" w:rsidRPr="005D529F" w:rsidRDefault="00C854D9" w:rsidP="005D529F">
      <w:pPr>
        <w:rPr>
          <w:rFonts w:cs="Times New Roman"/>
          <w:lang w:val="en-GB"/>
        </w:rPr>
      </w:pPr>
      <w:r w:rsidRPr="005D529F">
        <w:rPr>
          <w:rFonts w:cs="Times New Roman"/>
          <w:lang w:val="en-GB"/>
        </w:rPr>
        <w:t>Kirk, C. S., Raven, J. E., y Schofield, M. (1983): Los Filósofos Presocráticos, III. Madrid, Gredos.</w:t>
      </w:r>
    </w:p>
    <w:p w14:paraId="170A3001" w14:textId="77777777" w:rsidR="00C854D9" w:rsidRPr="005D529F" w:rsidRDefault="00C854D9" w:rsidP="005D529F">
      <w:pPr>
        <w:rPr>
          <w:rFonts w:cs="Times New Roman"/>
          <w:lang w:val="en-GB"/>
        </w:rPr>
      </w:pPr>
      <w:r w:rsidRPr="005D529F">
        <w:rPr>
          <w:rFonts w:cs="Times New Roman"/>
          <w:lang w:val="en-GB"/>
        </w:rPr>
        <w:t>Krause, J. S., y Sternberg, M. (1997): “Aging and adjustment after spinal cord injury: The roles of chronological age, time since injury, and environmental change”, Rehabilitation Psychology, 42:287-302.</w:t>
      </w:r>
    </w:p>
    <w:p w14:paraId="7CE05B42" w14:textId="77777777" w:rsidR="00C854D9" w:rsidRPr="005D529F" w:rsidRDefault="00C854D9" w:rsidP="005D529F">
      <w:pPr>
        <w:rPr>
          <w:rFonts w:cs="Times New Roman"/>
          <w:lang w:val="en-GB"/>
        </w:rPr>
      </w:pPr>
      <w:r w:rsidRPr="005D529F">
        <w:rPr>
          <w:rFonts w:cs="Times New Roman"/>
          <w:lang w:val="en-GB"/>
        </w:rPr>
        <w:t>Lawler, E. J. y Yoon, J. (1996): “Commitment in Exchange Relations: Test of a Theory of Relational Cohesion”, American Sociological Review, 61:89-108.</w:t>
      </w:r>
    </w:p>
    <w:p w14:paraId="4619E0B6" w14:textId="77777777" w:rsidR="00C854D9" w:rsidRPr="005D529F" w:rsidRDefault="00C854D9" w:rsidP="005D529F">
      <w:pPr>
        <w:rPr>
          <w:rFonts w:cs="Times New Roman"/>
          <w:lang w:val="en-GB"/>
        </w:rPr>
      </w:pPr>
      <w:r w:rsidRPr="005D529F">
        <w:rPr>
          <w:rFonts w:cs="Times New Roman"/>
          <w:lang w:val="en-GB"/>
        </w:rPr>
        <w:t>Lelkes, O. (2008): “Happiness Across the Life Cycle: Exploring Age-Specific Preferences”, Policy Brief (2): 1-16. European Centre for Social Welfare Policy and Research.</w:t>
      </w:r>
    </w:p>
    <w:p w14:paraId="69CE6D5F" w14:textId="77777777" w:rsidR="00C854D9" w:rsidRPr="005D529F" w:rsidRDefault="00C854D9" w:rsidP="005D529F">
      <w:pPr>
        <w:rPr>
          <w:rFonts w:cs="Times New Roman"/>
          <w:lang w:val="en-GB"/>
        </w:rPr>
      </w:pPr>
      <w:r w:rsidRPr="005D529F">
        <w:rPr>
          <w:rFonts w:cs="Times New Roman"/>
          <w:lang w:val="en-GB"/>
        </w:rPr>
        <w:t>Lie Tse (2006): Tratado del Vacío Perfecto, Palma de Mallorca:José J. de Olañeta, Editor.</w:t>
      </w:r>
    </w:p>
    <w:p w14:paraId="2F46CBC0" w14:textId="77777777" w:rsidR="00C854D9" w:rsidRPr="005D529F" w:rsidRDefault="00C854D9" w:rsidP="005D529F">
      <w:pPr>
        <w:rPr>
          <w:lang w:val="en-GB"/>
        </w:rPr>
      </w:pPr>
      <w:r w:rsidRPr="005D529F">
        <w:rPr>
          <w:lang w:val="en-GB"/>
        </w:rPr>
        <w:t xml:space="preserve">Littlejohn, J. (1975): </w:t>
      </w:r>
      <w:r w:rsidRPr="005D529F">
        <w:rPr>
          <w:iCs/>
          <w:lang w:val="en-GB"/>
        </w:rPr>
        <w:t>La estratificación social</w:t>
      </w:r>
      <w:r w:rsidRPr="005D529F">
        <w:rPr>
          <w:lang w:val="en-GB"/>
        </w:rPr>
        <w:t>, Madrid: Alianza.</w:t>
      </w:r>
    </w:p>
    <w:p w14:paraId="4A03505A" w14:textId="77777777" w:rsidR="00C854D9" w:rsidRPr="005D529F" w:rsidRDefault="00C854D9" w:rsidP="005D529F">
      <w:pPr>
        <w:rPr>
          <w:rFonts w:cs="Times New Roman"/>
          <w:lang w:val="en-GB"/>
        </w:rPr>
      </w:pPr>
      <w:r w:rsidRPr="005D529F">
        <w:rPr>
          <w:rFonts w:cs="Times New Roman"/>
          <w:lang w:val="en-GB"/>
        </w:rPr>
        <w:t>Lledó, E. (2013): “Sobre el epicureísmo”, en C. García Gual, E. Lledó y P. Hadot, Filosofía para la felicidad. Epicuro. Madrid: Errata Naturae: 9-23.</w:t>
      </w:r>
    </w:p>
    <w:p w14:paraId="7C2E7119" w14:textId="77777777" w:rsidR="00C854D9" w:rsidRPr="005D529F" w:rsidRDefault="00C854D9" w:rsidP="005D529F">
      <w:pPr>
        <w:rPr>
          <w:rFonts w:cs="Times New Roman"/>
          <w:lang w:val="en-GB"/>
        </w:rPr>
      </w:pPr>
      <w:r w:rsidRPr="005D529F">
        <w:rPr>
          <w:rFonts w:eastAsia="Times New Roman" w:cs="Times New Roman"/>
          <w:lang w:val="en-GB"/>
        </w:rPr>
        <w:t xml:space="preserve">— </w:t>
      </w:r>
      <w:r w:rsidRPr="005D529F">
        <w:rPr>
          <w:rFonts w:cs="Times New Roman"/>
          <w:lang w:val="en-GB"/>
        </w:rPr>
        <w:t>(2011): El epicureísmo. Una sabiduría del cuerpo, del gozo y de la amistad. Madrid:Taurus.</w:t>
      </w:r>
    </w:p>
    <w:p w14:paraId="1CB5B535" w14:textId="77777777" w:rsidR="00C854D9" w:rsidRPr="005D529F" w:rsidRDefault="00C854D9" w:rsidP="005D529F">
      <w:pPr>
        <w:rPr>
          <w:rFonts w:cs="Times New Roman"/>
          <w:lang w:val="en-GB"/>
        </w:rPr>
      </w:pPr>
      <w:r w:rsidRPr="005D529F">
        <w:rPr>
          <w:rFonts w:cs="Times New Roman"/>
          <w:lang w:val="en-GB"/>
        </w:rPr>
        <w:t>Lucas, R. E. (2007 a): “Adaptation and the set-point model of subjective well-being: Does happiness changeafter major life events?”, Current Directions in Psychological Science, 16:75–79.</w:t>
      </w:r>
    </w:p>
    <w:p w14:paraId="01F5861A" w14:textId="77777777" w:rsidR="00C854D9" w:rsidRPr="005D529F" w:rsidRDefault="00C854D9" w:rsidP="005D529F">
      <w:pPr>
        <w:rPr>
          <w:rFonts w:cs="Times New Roman"/>
          <w:lang w:val="en-GB"/>
        </w:rPr>
      </w:pPr>
      <w:r w:rsidRPr="005D529F">
        <w:rPr>
          <w:rFonts w:eastAsia="Times New Roman" w:cs="Times New Roman"/>
          <w:lang w:val="en-GB"/>
        </w:rPr>
        <w:t xml:space="preserve">— </w:t>
      </w:r>
      <w:r w:rsidRPr="005D529F">
        <w:rPr>
          <w:rFonts w:cs="Times New Roman"/>
          <w:lang w:val="en-GB"/>
        </w:rPr>
        <w:t>(2007 b): “Long-term disability is associated with lasting changes in subjective well-being: Evidence from two nationally representative longitudinal studies” Journal of Personality and SocialPsychology, 92:717–730.</w:t>
      </w:r>
    </w:p>
    <w:p w14:paraId="432650BD" w14:textId="77777777" w:rsidR="00C854D9" w:rsidRPr="005D529F" w:rsidRDefault="00C854D9" w:rsidP="005D529F">
      <w:pPr>
        <w:rPr>
          <w:rFonts w:cs="Times New Roman"/>
          <w:lang w:val="en-GB"/>
        </w:rPr>
      </w:pPr>
      <w:r w:rsidRPr="005D529F">
        <w:rPr>
          <w:rFonts w:cs="Times New Roman"/>
          <w:lang w:val="en-GB"/>
        </w:rPr>
        <w:t> </w:t>
      </w:r>
      <w:r w:rsidRPr="005D529F">
        <w:rPr>
          <w:rFonts w:eastAsia="Times New Roman" w:cs="Times New Roman"/>
          <w:lang w:val="en-GB"/>
        </w:rPr>
        <w:t xml:space="preserve">— </w:t>
      </w:r>
      <w:r w:rsidRPr="005D529F">
        <w:rPr>
          <w:rFonts w:cs="Times New Roman"/>
          <w:lang w:val="en-GB"/>
        </w:rPr>
        <w:t>(2005): “Time does not heal all wounds: A longitudinal study of reaction and adaptation to divorce” Psychological Science, 16: 945–950.</w:t>
      </w:r>
    </w:p>
    <w:p w14:paraId="2FF42C78" w14:textId="77777777" w:rsidR="00C854D9" w:rsidRPr="005D529F" w:rsidRDefault="00C854D9" w:rsidP="005D529F">
      <w:pPr>
        <w:rPr>
          <w:rFonts w:cs="Times New Roman"/>
          <w:lang w:val="en-GB"/>
        </w:rPr>
      </w:pPr>
      <w:r w:rsidRPr="005D529F">
        <w:rPr>
          <w:rFonts w:cs="Times New Roman"/>
          <w:lang w:val="en-GB"/>
        </w:rPr>
        <w:lastRenderedPageBreak/>
        <w:t>Lucas, R. E., Clark, A. E., Georgellis, Y., y Diener, E. (2004): “Unemployment alters the set point for lifesatisfaction”, Psychological Science, 15:8–13.</w:t>
      </w:r>
    </w:p>
    <w:p w14:paraId="455ABEDA" w14:textId="77777777" w:rsidR="00C854D9" w:rsidRPr="005D529F" w:rsidRDefault="00C854D9" w:rsidP="005D529F">
      <w:pPr>
        <w:rPr>
          <w:rFonts w:cs="Times New Roman"/>
          <w:lang w:val="en-GB"/>
        </w:rPr>
      </w:pPr>
      <w:r w:rsidRPr="005D529F">
        <w:rPr>
          <w:rFonts w:eastAsia="Times New Roman" w:cs="Times New Roman"/>
          <w:lang w:val="en-GB"/>
        </w:rPr>
        <w:t xml:space="preserve">— </w:t>
      </w:r>
      <w:r w:rsidRPr="005D529F">
        <w:rPr>
          <w:rFonts w:cs="Times New Roman"/>
          <w:lang w:val="en-GB"/>
        </w:rPr>
        <w:t>(2003): “Reexamining adaptation and the set-point model of happiness: Reactions to changes in marital status” Journal of Personality and Social Psy-chology, 84: 527–539.</w:t>
      </w:r>
    </w:p>
    <w:p w14:paraId="45588112" w14:textId="77777777" w:rsidR="00C854D9" w:rsidRPr="005D529F" w:rsidRDefault="00C854D9" w:rsidP="005D529F">
      <w:pPr>
        <w:rPr>
          <w:rFonts w:cs="Times New Roman"/>
          <w:lang w:val="en-GB"/>
        </w:rPr>
      </w:pPr>
      <w:r w:rsidRPr="005D529F">
        <w:rPr>
          <w:rFonts w:cs="Times New Roman"/>
          <w:lang w:val="en-GB"/>
        </w:rPr>
        <w:t>Luhmann, M., &amp; Eid, M. (2009): “Does it really feel the same? Changes in life satisfaction following repeated life events” Journal of Personality and Social Psychology, 97: 363–381.</w:t>
      </w:r>
    </w:p>
    <w:p w14:paraId="6F5C5B24" w14:textId="77777777" w:rsidR="00C854D9" w:rsidRPr="005D529F" w:rsidRDefault="00C854D9" w:rsidP="005D529F">
      <w:pPr>
        <w:rPr>
          <w:rFonts w:cs="Times New Roman"/>
          <w:lang w:val="en-GB"/>
        </w:rPr>
      </w:pPr>
      <w:r w:rsidRPr="005D529F">
        <w:rPr>
          <w:rFonts w:cs="Times New Roman"/>
          <w:lang w:val="en-GB"/>
        </w:rPr>
        <w:t>Luhmann, M., Hoffmann, W., Eid, M., &amp; Lucas, R. E. (2012): “Subjective well-being and adaptation to life events: A meta-analysis”, Journal of Personality and Social Psychology, 102(3): 592–615.</w:t>
      </w:r>
    </w:p>
    <w:p w14:paraId="4521587B" w14:textId="77777777" w:rsidR="00C854D9" w:rsidRPr="005D529F" w:rsidRDefault="00C854D9" w:rsidP="005D529F">
      <w:pPr>
        <w:rPr>
          <w:rFonts w:cs="Times New Roman"/>
          <w:lang w:val="en-GB"/>
        </w:rPr>
      </w:pPr>
      <w:r w:rsidRPr="005D529F">
        <w:rPr>
          <w:rFonts w:cs="Times New Roman"/>
          <w:lang w:val="en-GB"/>
        </w:rPr>
        <w:t xml:space="preserve">Ma, Y. Z., y Zhang, Y. (2014): “Resolution of the Happiness-Income Paradox”, Social Indicators Research, 119:705-721. </w:t>
      </w:r>
    </w:p>
    <w:p w14:paraId="2B4C4FCF" w14:textId="77777777" w:rsidR="00C854D9" w:rsidRPr="005D529F" w:rsidRDefault="00C854D9" w:rsidP="005D529F">
      <w:pPr>
        <w:rPr>
          <w:rFonts w:cs="Times New Roman"/>
          <w:lang w:val="en-GB"/>
        </w:rPr>
      </w:pPr>
      <w:r w:rsidRPr="005D529F">
        <w:rPr>
          <w:rFonts w:cs="Times New Roman"/>
          <w:lang w:val="en-GB"/>
        </w:rPr>
        <w:t>Marks, G.N. and N. Fleming (1999): “Influences and consequences of well-being among Australian young people: 1980–1995”, Social Indicators Research 46: 301–323.</w:t>
      </w:r>
    </w:p>
    <w:p w14:paraId="299E8BF9" w14:textId="77777777" w:rsidR="00C854D9" w:rsidRPr="005D529F" w:rsidRDefault="00C854D9" w:rsidP="005D529F">
      <w:pPr>
        <w:rPr>
          <w:rFonts w:cs="Times New Roman"/>
          <w:lang w:val="en-GB"/>
        </w:rPr>
      </w:pPr>
      <w:r w:rsidRPr="005D529F">
        <w:rPr>
          <w:rFonts w:cs="Times New Roman"/>
          <w:lang w:val="en-GB"/>
        </w:rPr>
        <w:t>Martín Santos, L. (1990): “Teoría de las catástrofes”, en Política y Sociedad, 5, pp. 107-117.</w:t>
      </w:r>
    </w:p>
    <w:p w14:paraId="426C85C8" w14:textId="77777777" w:rsidR="00C854D9" w:rsidRPr="005D529F" w:rsidRDefault="00C854D9" w:rsidP="005D529F">
      <w:pPr>
        <w:rPr>
          <w:rFonts w:cs="Times New Roman"/>
          <w:lang w:val="en-GB"/>
        </w:rPr>
      </w:pPr>
      <w:r w:rsidRPr="005D529F">
        <w:rPr>
          <w:rFonts w:cs="Times New Roman"/>
          <w:lang w:val="en-GB"/>
        </w:rPr>
        <w:t>Martin Artiles, A. (2013): “Incertidumbre socio-económica y actitudes hacia la inmigración en Europa”, Cuadernos de Relaciones Laborales, 31 (1):167-194.</w:t>
      </w:r>
    </w:p>
    <w:p w14:paraId="58551795" w14:textId="77777777" w:rsidR="00C854D9" w:rsidRPr="005D529F" w:rsidRDefault="00C854D9" w:rsidP="005D529F">
      <w:pPr>
        <w:rPr>
          <w:rFonts w:cs="Times"/>
          <w:lang w:val="en-GB"/>
        </w:rPr>
      </w:pPr>
      <w:r w:rsidRPr="005D529F">
        <w:rPr>
          <w:rFonts w:cs="Times"/>
          <w:lang w:val="en-GB"/>
        </w:rPr>
        <w:t>Mayer, K. U. (2004): “Life Courses and Life Chances in a Comparative Perspective”. Paper for the Symposium in Honor of Robert Erikson ‘‘Life Chances and Social Origins’’, Swedish Council for Working Life and Social Research (FAS), Sigtunahöjden. Disponible en: http://www.yale.edu/socdept/CIQLE/CIQLE%20papers/mayer,%20Life%20- Courses%20and%20Life%20Chances.pdf (accessed September 8, 2004).</w:t>
      </w:r>
    </w:p>
    <w:p w14:paraId="5376855F" w14:textId="77777777" w:rsidR="00C854D9" w:rsidRPr="005D529F" w:rsidRDefault="00C854D9" w:rsidP="005D529F">
      <w:pPr>
        <w:rPr>
          <w:rFonts w:cs="Times New Roman"/>
          <w:lang w:val="en-GB"/>
        </w:rPr>
      </w:pPr>
      <w:r w:rsidRPr="005D529F">
        <w:rPr>
          <w:rFonts w:cs="Times New Roman"/>
          <w:lang w:val="en-GB"/>
        </w:rPr>
        <w:t>Michalos, A. C. (2008): “Education, Happiness and Wellbeing”, Social Indicators Research, 87(3): 347-366.</w:t>
      </w:r>
    </w:p>
    <w:p w14:paraId="04E769FA" w14:textId="77777777" w:rsidR="00C854D9" w:rsidRPr="005D529F" w:rsidRDefault="00C854D9" w:rsidP="005D529F">
      <w:pPr>
        <w:rPr>
          <w:rFonts w:cs="Times New Roman"/>
          <w:lang w:val="en-GB"/>
        </w:rPr>
      </w:pPr>
      <w:r w:rsidRPr="005D529F">
        <w:rPr>
          <w:rFonts w:cs="Times New Roman"/>
          <w:lang w:val="en-GB"/>
        </w:rPr>
        <w:t>Muñoz Roussy, A. G. (2011): “Happiness and homelessness: A case study of Happiness awareness among homeless people”, World Journal of Social Sciences, 1: 165-187.</w:t>
      </w:r>
    </w:p>
    <w:p w14:paraId="3CD954D7" w14:textId="77777777" w:rsidR="00C854D9" w:rsidRPr="005D529F" w:rsidRDefault="00C854D9" w:rsidP="005D529F">
      <w:pPr>
        <w:rPr>
          <w:rFonts w:cs="Times New Roman"/>
          <w:lang w:val="en-GB"/>
        </w:rPr>
      </w:pPr>
      <w:r w:rsidRPr="005D529F">
        <w:rPr>
          <w:rFonts w:cs="Times New Roman"/>
          <w:lang w:val="en-GB"/>
        </w:rPr>
        <w:t>Nussbaum, M. C. (2008): Paisajes del pensamiento. La inteligencia de las emociones. Barcelona, Paidós.</w:t>
      </w:r>
    </w:p>
    <w:p w14:paraId="78989EB5" w14:textId="77777777" w:rsidR="00C854D9" w:rsidRPr="005D529F" w:rsidRDefault="00C854D9" w:rsidP="005D529F">
      <w:pPr>
        <w:rPr>
          <w:rFonts w:cs="Times New Roman"/>
          <w:lang w:val="en-GB"/>
        </w:rPr>
      </w:pPr>
      <w:r w:rsidRPr="005D529F">
        <w:rPr>
          <w:rFonts w:cs="Times New Roman"/>
          <w:lang w:val="en-GB"/>
        </w:rPr>
        <w:t>Nussbaum, M. C. y Sen, A. (1993): The Quality of Life. Oxford: Oxford University Press.</w:t>
      </w:r>
    </w:p>
    <w:p w14:paraId="120D8775" w14:textId="77777777" w:rsidR="00C854D9" w:rsidRPr="005D529F" w:rsidRDefault="00C854D9" w:rsidP="005D529F">
      <w:pPr>
        <w:rPr>
          <w:rFonts w:cs="Times New Roman"/>
          <w:lang w:val="en-GB"/>
        </w:rPr>
      </w:pPr>
      <w:r w:rsidRPr="005D529F">
        <w:rPr>
          <w:rFonts w:cs="Times New Roman"/>
          <w:lang w:val="en-GB"/>
        </w:rPr>
        <w:t xml:space="preserve">OECD (2011): How’s Life?: Measuring well-being, OECD Publishing. </w:t>
      </w:r>
      <w:r w:rsidRPr="005D529F">
        <w:rPr>
          <w:rFonts w:cs="Times New Roman"/>
          <w:iCs/>
          <w:lang w:val="en-GB"/>
        </w:rPr>
        <w:t>http://dx.doi.org/10.1787/9789264121164-en</w:t>
      </w:r>
    </w:p>
    <w:p w14:paraId="2C12572A" w14:textId="77777777" w:rsidR="00C854D9" w:rsidRPr="005D529F" w:rsidRDefault="00C854D9" w:rsidP="005D529F">
      <w:pPr>
        <w:rPr>
          <w:rFonts w:cs="Times New Roman"/>
          <w:lang w:val="en-GB"/>
        </w:rPr>
      </w:pPr>
      <w:r w:rsidRPr="005D529F">
        <w:rPr>
          <w:rFonts w:cs="Times New Roman"/>
          <w:lang w:val="en-GB"/>
        </w:rPr>
        <w:t xml:space="preserve">OECD (2013): OECD Guidelines on Measuring Subjective Well-being, OECD Publishing. Disponible en: </w:t>
      </w:r>
      <w:hyperlink r:id="rId79" w:history="1">
        <w:r w:rsidRPr="005D529F">
          <w:rPr>
            <w:rFonts w:cs="Times New Roman"/>
            <w:lang w:val="en-GB"/>
          </w:rPr>
          <w:t>http://dx.doi.org/10.1787/9789264191655-en</w:t>
        </w:r>
      </w:hyperlink>
    </w:p>
    <w:p w14:paraId="56A6C0EC" w14:textId="77777777" w:rsidR="00C854D9" w:rsidRPr="005D529F" w:rsidRDefault="00C854D9" w:rsidP="005D529F">
      <w:pPr>
        <w:rPr>
          <w:rFonts w:cs="Times New Roman"/>
          <w:lang w:val="en-GB"/>
        </w:rPr>
      </w:pPr>
      <w:r w:rsidRPr="005D529F">
        <w:rPr>
          <w:rFonts w:cs="Times New Roman"/>
          <w:lang w:val="en-GB"/>
        </w:rPr>
        <w:lastRenderedPageBreak/>
        <w:t>Pichler, F. (2006): “Subjective quality of life of young Europeans. Feeling happy but who knows why”, Social Indicators Research, 75:419-444.</w:t>
      </w:r>
    </w:p>
    <w:p w14:paraId="5643EF55" w14:textId="77777777" w:rsidR="00C854D9" w:rsidRPr="005D529F" w:rsidRDefault="00C854D9" w:rsidP="005D529F">
      <w:pPr>
        <w:rPr>
          <w:rFonts w:cs="Times New Roman"/>
          <w:lang w:val="en-GB"/>
        </w:rPr>
      </w:pPr>
      <w:r w:rsidRPr="005D529F">
        <w:rPr>
          <w:rFonts w:cs="Times New Roman"/>
          <w:lang w:val="en-GB"/>
        </w:rPr>
        <w:t>Rinken, S. (2013): “El día después: la sociología de las migraciones en tiempos de crisis”, Revista Española de Sociología (RES), 19:171-186.</w:t>
      </w:r>
    </w:p>
    <w:p w14:paraId="0741624E" w14:textId="77777777" w:rsidR="00C854D9" w:rsidRPr="005D529F" w:rsidRDefault="00C854D9" w:rsidP="005D529F">
      <w:pPr>
        <w:rPr>
          <w:rFonts w:cs="Times New Roman"/>
          <w:lang w:val="en-GB"/>
        </w:rPr>
      </w:pPr>
      <w:r w:rsidRPr="005D529F">
        <w:rPr>
          <w:rFonts w:cs="Times New Roman"/>
          <w:lang w:val="en-GB"/>
        </w:rPr>
        <w:t>Rojas, M. (2004): “Well-being and the complexity of Poverty”. Research Paper nº 29, United Nations University-Wider.</w:t>
      </w:r>
    </w:p>
    <w:p w14:paraId="7264F651" w14:textId="77777777" w:rsidR="00C854D9" w:rsidRPr="005D529F" w:rsidRDefault="00C854D9" w:rsidP="005D529F">
      <w:pPr>
        <w:rPr>
          <w:rFonts w:cs="Times New Roman"/>
          <w:lang w:val="en-GB"/>
        </w:rPr>
      </w:pPr>
      <w:r w:rsidRPr="005D529F">
        <w:rPr>
          <w:rFonts w:cs="Times New Roman"/>
          <w:lang w:val="en-GB"/>
        </w:rPr>
        <w:t>Russell, B. (2003): La conquista de la felicidad. Barcelona, Random House Mondadori.</w:t>
      </w:r>
    </w:p>
    <w:p w14:paraId="264A732B" w14:textId="77777777" w:rsidR="00C854D9" w:rsidRPr="005D529F" w:rsidRDefault="00C854D9" w:rsidP="005D529F">
      <w:pPr>
        <w:rPr>
          <w:rFonts w:cs="Times New Roman"/>
          <w:lang w:val="en-GB"/>
        </w:rPr>
      </w:pPr>
      <w:r w:rsidRPr="005D529F">
        <w:rPr>
          <w:rFonts w:cs="Times New Roman"/>
          <w:lang w:val="en-GB"/>
        </w:rPr>
        <w:t>Russo Delgado, J. A. (2007): La ética en Demócrito. Lima: Universidad Nacional Mayor de San Marcos.</w:t>
      </w:r>
    </w:p>
    <w:p w14:paraId="11310846" w14:textId="77777777" w:rsidR="00C854D9" w:rsidRPr="005D529F" w:rsidRDefault="00C854D9" w:rsidP="005D529F">
      <w:pPr>
        <w:rPr>
          <w:rFonts w:cs="Times New Roman"/>
          <w:lang w:val="en-GB"/>
        </w:rPr>
      </w:pPr>
      <w:r w:rsidRPr="005D529F">
        <w:rPr>
          <w:rFonts w:cs="Times New Roman"/>
          <w:lang w:val="en-GB"/>
        </w:rPr>
        <w:t>Ryan, R. M. y Deci, E. L. (2001): “On Happiness and Human Potentials: A Review of Research on Hedonic and Eudaimonic Well-Being”, en Annual Review of Psychology, 52:141-166.</w:t>
      </w:r>
    </w:p>
    <w:p w14:paraId="21171C21" w14:textId="77777777" w:rsidR="00C854D9" w:rsidRPr="005D529F" w:rsidRDefault="00C854D9" w:rsidP="005D529F">
      <w:pPr>
        <w:rPr>
          <w:rFonts w:cs="Times New Roman"/>
          <w:lang w:val="en-GB"/>
        </w:rPr>
      </w:pPr>
      <w:r w:rsidRPr="005D529F">
        <w:rPr>
          <w:rFonts w:cs="Times New Roman"/>
          <w:lang w:val="en-GB"/>
        </w:rPr>
        <w:t>Safi, M. (2010): “Immigrants’ Life Satisfaction in Europe: Between Assimilation and Discrimination”, European Sociological Review, 26(2): 159-176.</w:t>
      </w:r>
    </w:p>
    <w:p w14:paraId="0E9EE865" w14:textId="77777777" w:rsidR="00C854D9" w:rsidRPr="005D529F" w:rsidRDefault="00C854D9" w:rsidP="005D529F">
      <w:pPr>
        <w:rPr>
          <w:rFonts w:cs="Times New Roman"/>
          <w:lang w:val="en-GB"/>
        </w:rPr>
      </w:pPr>
      <w:r w:rsidRPr="005D529F">
        <w:rPr>
          <w:rFonts w:cs="Times New Roman"/>
          <w:lang w:val="en-GB"/>
        </w:rPr>
        <w:t>Scheff, Th. J. (2000): “Shame and the social bond: A sociological theory”, Sociological Theory, 18:84-99.</w:t>
      </w:r>
    </w:p>
    <w:p w14:paraId="01462C55" w14:textId="77777777" w:rsidR="00C854D9" w:rsidRPr="005D529F" w:rsidRDefault="00C854D9" w:rsidP="005D529F">
      <w:pPr>
        <w:rPr>
          <w:rFonts w:cs="Times New Roman"/>
          <w:lang w:val="en-GB"/>
        </w:rPr>
      </w:pPr>
      <w:r w:rsidRPr="005D529F">
        <w:rPr>
          <w:rFonts w:eastAsia="Times New Roman" w:cs="Times New Roman"/>
          <w:lang w:val="en-GB"/>
        </w:rPr>
        <w:t xml:space="preserve">— </w:t>
      </w:r>
      <w:r w:rsidRPr="005D529F">
        <w:rPr>
          <w:rFonts w:cs="Times New Roman"/>
          <w:lang w:val="en-GB"/>
        </w:rPr>
        <w:t>(1990): Microsociology: Discourse, Emotion and Social Structure. Chicago: The University of Chicago Press.</w:t>
      </w:r>
    </w:p>
    <w:p w14:paraId="7C1F70D9" w14:textId="77777777" w:rsidR="00C854D9" w:rsidRPr="005D529F" w:rsidRDefault="00C854D9" w:rsidP="005D529F">
      <w:pPr>
        <w:rPr>
          <w:rFonts w:cs="Times New Roman"/>
          <w:lang w:val="en-GB"/>
        </w:rPr>
      </w:pPr>
      <w:r w:rsidRPr="005D529F">
        <w:rPr>
          <w:rFonts w:eastAsia="Times New Roman" w:cs="Times New Roman"/>
          <w:lang w:val="en-GB"/>
        </w:rPr>
        <w:t xml:space="preserve">— </w:t>
      </w:r>
      <w:r w:rsidRPr="005D529F">
        <w:rPr>
          <w:rFonts w:cs="Times New Roman"/>
          <w:lang w:val="en-GB"/>
        </w:rPr>
        <w:t>(1988): “Shame and conformity: The deference-emotion system”, American Sociological Review, 53:395-406</w:t>
      </w:r>
    </w:p>
    <w:p w14:paraId="5D3928F8" w14:textId="77777777" w:rsidR="00C854D9" w:rsidRPr="005D529F" w:rsidRDefault="00C854D9" w:rsidP="005D529F">
      <w:pPr>
        <w:rPr>
          <w:rFonts w:cs="Times New Roman"/>
          <w:lang w:val="en-GB"/>
        </w:rPr>
      </w:pPr>
      <w:r w:rsidRPr="005D529F">
        <w:rPr>
          <w:rFonts w:cs="Times New Roman"/>
          <w:lang w:val="en-GB"/>
        </w:rPr>
        <w:t>Schiffrinn, H. H. Y Nelson, S. K. (2010): “Stressed and Happy? Investigating the Relationship Between Happiness and Perceived Stress”, Journal of Happiness Study, 11:33-39.</w:t>
      </w:r>
    </w:p>
    <w:p w14:paraId="74E5AC4D" w14:textId="77777777" w:rsidR="00C854D9" w:rsidRPr="005D529F" w:rsidRDefault="00C854D9" w:rsidP="005D529F">
      <w:pPr>
        <w:rPr>
          <w:rFonts w:cs="Times New Roman"/>
          <w:lang w:val="en-GB"/>
        </w:rPr>
      </w:pPr>
      <w:r w:rsidRPr="005D529F">
        <w:rPr>
          <w:rFonts w:cs="Times New Roman"/>
          <w:lang w:val="en-GB"/>
        </w:rPr>
        <w:t>Schilling, O. (2006): “Development of life satisfaction in old age: another vie on the ‘paradox’”, Social Indicators Research, 75:241-271.</w:t>
      </w:r>
    </w:p>
    <w:p w14:paraId="2A0FE9A1" w14:textId="77777777" w:rsidR="00C854D9" w:rsidRPr="005D529F" w:rsidRDefault="00C854D9" w:rsidP="005D529F">
      <w:pPr>
        <w:rPr>
          <w:rFonts w:cs="Times New Roman"/>
          <w:lang w:val="en-GB"/>
        </w:rPr>
      </w:pPr>
      <w:r w:rsidRPr="005D529F">
        <w:rPr>
          <w:rFonts w:cs="Times New Roman"/>
          <w:lang w:val="en-GB"/>
        </w:rPr>
        <w:t>Seligman, M.E.P. (2011): Flourish: A Visionary new Understanding of Happiness and Well-being. New York: Simon &amp; Schuster.</w:t>
      </w:r>
    </w:p>
    <w:p w14:paraId="3F828F71" w14:textId="77777777" w:rsidR="00C854D9" w:rsidRPr="005D529F" w:rsidRDefault="00C854D9" w:rsidP="005D529F">
      <w:pPr>
        <w:rPr>
          <w:rFonts w:cs="Times New Roman"/>
          <w:lang w:val="en-GB"/>
        </w:rPr>
      </w:pPr>
      <w:r w:rsidRPr="005D529F">
        <w:rPr>
          <w:rFonts w:eastAsia="Times New Roman" w:cs="Times New Roman"/>
          <w:lang w:val="en-GB"/>
        </w:rPr>
        <w:t xml:space="preserve">— </w:t>
      </w:r>
      <w:r w:rsidRPr="005D529F">
        <w:rPr>
          <w:rFonts w:cs="Times New Roman"/>
          <w:lang w:val="en-GB"/>
        </w:rPr>
        <w:t>(1975): Helplessness: On Depression, Development, and Death. New York: W. H. Freeman.</w:t>
      </w:r>
    </w:p>
    <w:p w14:paraId="0EC5C69C" w14:textId="77777777" w:rsidR="00C854D9" w:rsidRPr="005D529F" w:rsidRDefault="00C854D9" w:rsidP="005D529F">
      <w:pPr>
        <w:rPr>
          <w:rFonts w:cs="Times New Roman"/>
          <w:lang w:val="en-GB"/>
        </w:rPr>
      </w:pPr>
      <w:r w:rsidRPr="005D529F">
        <w:rPr>
          <w:rFonts w:cs="Times New Roman"/>
          <w:lang w:val="en-GB"/>
        </w:rPr>
        <w:t>Sennet, R. (2003): El respeto. Barcelona: Anagrama.</w:t>
      </w:r>
    </w:p>
    <w:p w14:paraId="5460F901" w14:textId="77777777" w:rsidR="00C854D9" w:rsidRPr="005D529F" w:rsidRDefault="00C854D9" w:rsidP="005D529F">
      <w:pPr>
        <w:rPr>
          <w:rFonts w:cs="Times New Roman"/>
          <w:lang w:val="en-GB"/>
        </w:rPr>
      </w:pPr>
      <w:r w:rsidRPr="005D529F">
        <w:rPr>
          <w:rFonts w:cs="Times New Roman"/>
          <w:lang w:val="en-GB"/>
        </w:rPr>
        <w:t>Smith, D M, Kenneth M. Langa, M, U. Kabeto and P A. Ubel (2005): “Health, Wealth, and Happiness”, Psychological Science. 16(9):663– 666.</w:t>
      </w:r>
    </w:p>
    <w:p w14:paraId="273D8D42" w14:textId="77777777" w:rsidR="00C854D9" w:rsidRPr="005D529F" w:rsidRDefault="00C854D9" w:rsidP="005D529F">
      <w:pPr>
        <w:rPr>
          <w:rFonts w:cs="Times New Roman"/>
          <w:lang w:val="en-GB"/>
        </w:rPr>
      </w:pPr>
      <w:r w:rsidRPr="005D529F">
        <w:rPr>
          <w:rFonts w:cs="Times New Roman"/>
          <w:lang w:val="en-GB"/>
        </w:rPr>
        <w:lastRenderedPageBreak/>
        <w:t>Starbuck, G. H. (2000): “Are His Marriages Really Better than Hers? An International Comparison”, Ponencia presentada en Western Social Science Association, San Diego, California, Abril 26-30, 2000.</w:t>
      </w:r>
    </w:p>
    <w:p w14:paraId="1E57965D" w14:textId="59C5261B" w:rsidR="00A150B2" w:rsidRPr="005D529F" w:rsidRDefault="00C854D9" w:rsidP="005D529F">
      <w:pPr>
        <w:rPr>
          <w:rFonts w:cs="Times New Roman"/>
          <w:lang w:val="en-GB"/>
        </w:rPr>
      </w:pPr>
      <w:r w:rsidRPr="005D529F">
        <w:rPr>
          <w:rFonts w:cs="Times New Roman"/>
          <w:lang w:val="en-GB"/>
        </w:rPr>
        <w:t>Stets, J. E. (2010): “Future directions in the Sociology of Emotions”, Emotion Review, 2(3):265-268.</w:t>
      </w:r>
    </w:p>
    <w:p w14:paraId="76BBD141" w14:textId="7B53CEFE" w:rsidR="00A150B2" w:rsidRPr="005D529F" w:rsidRDefault="00A150B2" w:rsidP="005D529F">
      <w:pPr>
        <w:rPr>
          <w:rFonts w:cs="Times New Roman"/>
          <w:lang w:val="en-GB"/>
        </w:rPr>
      </w:pPr>
      <w:r w:rsidRPr="005D529F">
        <w:rPr>
          <w:rFonts w:cs="Times New Roman"/>
          <w:lang w:val="en-GB"/>
        </w:rPr>
        <w:t>Stiglitz, J.E. (2014): El precio de la desigualdad. Madrid, Santillana.</w:t>
      </w:r>
    </w:p>
    <w:p w14:paraId="1536DACE" w14:textId="6936CF4E" w:rsidR="00A150B2" w:rsidRPr="005D529F" w:rsidRDefault="00A150B2" w:rsidP="005D529F">
      <w:pPr>
        <w:rPr>
          <w:rFonts w:cs="Times New Roman"/>
          <w:lang w:val="en-GB"/>
        </w:rPr>
      </w:pPr>
      <w:r w:rsidRPr="005D529F">
        <w:rPr>
          <w:rFonts w:cs="Times New Roman"/>
          <w:lang w:val="en-GB"/>
        </w:rPr>
        <w:t>Stiglitz, J. E., Sen, A., &amp; Fitoussi, J.-P. (2009): Report by the commission on the measurement of economic performance and social progress. Paris. European Commission. http://www.stiglitz-sen-fitoussi.fr/documents/rapport_anglais.pdf</w:t>
      </w:r>
    </w:p>
    <w:p w14:paraId="40B3BD9B" w14:textId="77777777" w:rsidR="00C854D9" w:rsidRPr="005D529F" w:rsidRDefault="00C854D9" w:rsidP="005D529F">
      <w:pPr>
        <w:rPr>
          <w:rFonts w:cs="Times New Roman"/>
          <w:lang w:val="en-GB"/>
        </w:rPr>
      </w:pPr>
      <w:r w:rsidRPr="005D529F">
        <w:rPr>
          <w:rFonts w:cs="Times New Roman"/>
          <w:lang w:val="en-GB"/>
        </w:rPr>
        <w:t xml:space="preserve">Tang, Z. (2013): “They are richer but are they Happier? Subjective well-being of Chinesse citizens across the Reform Era”, Social Indicators Research, DOI 10.1007/s11205-013-0339-2 </w:t>
      </w:r>
    </w:p>
    <w:p w14:paraId="4A7DB6DA" w14:textId="77777777" w:rsidR="00C854D9" w:rsidRPr="005D529F" w:rsidRDefault="00C854D9" w:rsidP="005D529F">
      <w:pPr>
        <w:rPr>
          <w:rFonts w:cs="Times New Roman"/>
          <w:lang w:val="en-GB"/>
        </w:rPr>
      </w:pPr>
      <w:r w:rsidRPr="005D529F">
        <w:rPr>
          <w:rFonts w:cs="Times New Roman"/>
          <w:lang w:val="en-GB"/>
        </w:rPr>
        <w:t>Tennant, R., L. Hiller, R. Fishwick, S. Platt, S. Joseph, S. Weich, J. Parkinson, J. Secker and S. Stewart-Brown (2007): “The Warwick-Edinburgh Mental Well-being Scale (WEMWBS): development and UK validation”, Health and Quality of Life Outcomes, 5:63.</w:t>
      </w:r>
    </w:p>
    <w:p w14:paraId="53DCB757" w14:textId="77777777" w:rsidR="00C854D9" w:rsidRPr="005D529F" w:rsidRDefault="00C854D9" w:rsidP="005D529F">
      <w:pPr>
        <w:rPr>
          <w:rFonts w:cs="Times New Roman"/>
          <w:lang w:val="en-GB"/>
        </w:rPr>
      </w:pPr>
      <w:r w:rsidRPr="005D529F">
        <w:rPr>
          <w:rFonts w:cs="Times New Roman"/>
          <w:lang w:val="en-GB"/>
        </w:rPr>
        <w:t>Tesch-Römer, C., Motel-Klingebiel, A. y Tomasick, M. J. (2008): “Gender Differences in Subjective Well-Being: Comparing Societies with respect to Gender Equalities”, en Social Indicators Research, 85:329-349.</w:t>
      </w:r>
    </w:p>
    <w:p w14:paraId="55725EE5" w14:textId="77777777" w:rsidR="00C854D9" w:rsidRPr="005D529F" w:rsidRDefault="00C854D9" w:rsidP="005D529F">
      <w:pPr>
        <w:rPr>
          <w:rFonts w:cs="Times New Roman"/>
          <w:lang w:val="en-GB"/>
        </w:rPr>
      </w:pPr>
      <w:r w:rsidRPr="005D529F">
        <w:rPr>
          <w:rFonts w:cs="Times New Roman"/>
          <w:lang w:val="en-GB"/>
        </w:rPr>
        <w:t>Thoits, P. A. (2010): “Stress and Health: Major findings and Policy Implications”, Journal of Health and Social Behavior, 51(S) S41-S53.</w:t>
      </w:r>
    </w:p>
    <w:p w14:paraId="1FAF4C50" w14:textId="77777777" w:rsidR="00C854D9" w:rsidRPr="005D529F" w:rsidRDefault="00C854D9" w:rsidP="005D529F">
      <w:pPr>
        <w:rPr>
          <w:rFonts w:cs="Times New Roman"/>
          <w:lang w:val="en-GB"/>
        </w:rPr>
      </w:pPr>
      <w:r w:rsidRPr="005D529F">
        <w:rPr>
          <w:rFonts w:cs="Times New Roman"/>
          <w:lang w:val="en-GB"/>
        </w:rPr>
        <w:t>Thom, R. (1975): Estructural stabiblity and morphogenesis: an Outline of a general theory of models. London, Benjamin Cummings Publishing.</w:t>
      </w:r>
    </w:p>
    <w:p w14:paraId="230F59BA" w14:textId="77777777" w:rsidR="00C854D9" w:rsidRPr="005D529F" w:rsidRDefault="00C854D9" w:rsidP="005D529F">
      <w:pPr>
        <w:rPr>
          <w:rFonts w:cs="Times New Roman"/>
          <w:lang w:val="en-GB"/>
        </w:rPr>
      </w:pPr>
      <w:r w:rsidRPr="005D529F">
        <w:rPr>
          <w:rFonts w:cs="Times New Roman"/>
          <w:lang w:val="en-GB"/>
        </w:rPr>
        <w:t>Thomas, L.E., McCabe, E., &amp; Berry, J.E., (1980): Unemployment and family stress: a reassessment, Family Relations, 29(4): 517-524.</w:t>
      </w:r>
    </w:p>
    <w:p w14:paraId="1EF2050C" w14:textId="77777777" w:rsidR="00C854D9" w:rsidRPr="005D529F" w:rsidRDefault="00C854D9" w:rsidP="005D529F">
      <w:pPr>
        <w:rPr>
          <w:rFonts w:cs="Times New Roman"/>
          <w:lang w:val="en-GB"/>
        </w:rPr>
      </w:pPr>
      <w:r w:rsidRPr="005D529F">
        <w:rPr>
          <w:rFonts w:cs="Times New Roman"/>
          <w:lang w:val="en-GB"/>
        </w:rPr>
        <w:t>Tinkler, L. y S. Hicks (2011): Measuring Subjective Well-being. Office for National Statistics (ONS). Available at: http://www.ons.gov.uk/ons/guide-method/user-guidance/well-being/publications/measuring-subjective-well-being.pdf</w:t>
      </w:r>
    </w:p>
    <w:p w14:paraId="45B853FB" w14:textId="77777777" w:rsidR="00C854D9" w:rsidRPr="005D529F" w:rsidRDefault="00C854D9" w:rsidP="005D529F">
      <w:pPr>
        <w:rPr>
          <w:rFonts w:cs="Times New Roman"/>
          <w:lang w:val="en-GB"/>
        </w:rPr>
      </w:pPr>
      <w:r w:rsidRPr="005D529F">
        <w:rPr>
          <w:rFonts w:cs="Times New Roman"/>
          <w:lang w:val="en-GB"/>
        </w:rPr>
        <w:t>Turner, J. H. (1999): “Toward a General Sociological Theory of Emotions”, Journal for the Theory of Social Behaviour, 29(2): 133-162</w:t>
      </w:r>
    </w:p>
    <w:p w14:paraId="4B7AADFB" w14:textId="77777777" w:rsidR="00C854D9" w:rsidRPr="005D529F" w:rsidRDefault="00C854D9" w:rsidP="005D529F">
      <w:pPr>
        <w:rPr>
          <w:rFonts w:cs="Times New Roman"/>
          <w:lang w:val="es-ES"/>
        </w:rPr>
      </w:pPr>
      <w:r w:rsidRPr="005D529F">
        <w:rPr>
          <w:rFonts w:cs="Times New Roman"/>
          <w:lang w:val="en-GB"/>
        </w:rPr>
        <w:t xml:space="preserve">Van der Meer, P. H. (2014): “Gender, Unemployment and Subjective Well-being: Why Being Unemployed is Worse for Men than for Women”, Social Indicators Research, </w:t>
      </w:r>
      <w:r w:rsidRPr="005D529F">
        <w:rPr>
          <w:rFonts w:cs="Times New Roman"/>
          <w:lang w:val="es-ES"/>
        </w:rPr>
        <w:t>DOI: 10.1007/s11205-012-0207-5.</w:t>
      </w:r>
    </w:p>
    <w:p w14:paraId="3C71624E" w14:textId="77777777" w:rsidR="00C854D9" w:rsidRPr="005D529F" w:rsidRDefault="00C854D9" w:rsidP="005D529F">
      <w:pPr>
        <w:rPr>
          <w:rFonts w:cs="Times New Roman"/>
          <w:lang w:val="en-GB"/>
        </w:rPr>
      </w:pPr>
      <w:r w:rsidRPr="005D529F">
        <w:rPr>
          <w:rFonts w:cs="Times New Roman"/>
          <w:lang w:val="en-GB"/>
        </w:rPr>
        <w:t>Veenhoven, R. (2012 a): “Happiness, Also Known as Life Satisfaction and Subjective Well-Being”, en K.C. Land et al. (eds.) Handbook of Social Indicators and Quality of Life Research. Springer Science: 63-77.</w:t>
      </w:r>
    </w:p>
    <w:p w14:paraId="64D5284B" w14:textId="77777777" w:rsidR="00C854D9" w:rsidRPr="005D529F" w:rsidRDefault="00C854D9" w:rsidP="005D529F">
      <w:pPr>
        <w:rPr>
          <w:rFonts w:cs="Times New Roman"/>
          <w:lang w:val="en-GB"/>
        </w:rPr>
      </w:pPr>
      <w:r w:rsidRPr="005D529F">
        <w:rPr>
          <w:rFonts w:eastAsia="Times New Roman" w:cs="Times New Roman"/>
          <w:lang w:val="en-GB"/>
        </w:rPr>
        <w:lastRenderedPageBreak/>
        <w:t>— (</w:t>
      </w:r>
      <w:r w:rsidRPr="005D529F">
        <w:rPr>
          <w:rFonts w:cs="Times New Roman"/>
          <w:lang w:val="en-GB"/>
        </w:rPr>
        <w:t xml:space="preserve">2012 b): “World Database of Happiness”. Disponible en: </w:t>
      </w:r>
      <w:hyperlink r:id="rId80" w:history="1">
        <w:r w:rsidRPr="005D529F">
          <w:rPr>
            <w:rStyle w:val="Hipervnculo"/>
            <w:rFonts w:cs="Times New Roman"/>
            <w:lang w:val="en-GB"/>
          </w:rPr>
          <w:t>http://worlddatabaseofhappiness.eur.nl</w:t>
        </w:r>
      </w:hyperlink>
    </w:p>
    <w:p w14:paraId="6077BCE8" w14:textId="77777777" w:rsidR="00C854D9" w:rsidRPr="005D529F" w:rsidRDefault="00C854D9" w:rsidP="005D529F">
      <w:pPr>
        <w:rPr>
          <w:rFonts w:cs="Times New Roman"/>
          <w:lang w:val="en-GB"/>
        </w:rPr>
      </w:pPr>
      <w:r w:rsidRPr="005D529F">
        <w:rPr>
          <w:rFonts w:eastAsia="Times New Roman" w:cs="Times New Roman"/>
          <w:lang w:val="en-GB"/>
        </w:rPr>
        <w:t xml:space="preserve">— </w:t>
      </w:r>
      <w:r w:rsidRPr="005D529F">
        <w:rPr>
          <w:rFonts w:cs="Times New Roman"/>
          <w:lang w:val="en-GB"/>
        </w:rPr>
        <w:t>(2012 c): “Happiness, Also Known as “Life Satisfaction” and “Subjective Well-Being””. K.C. Land et al. (eds.), Handbook of Social Indicators and Quality of Life Research. Dordrecht: Springer Science+Business Media B.V.: 63-77.</w:t>
      </w:r>
    </w:p>
    <w:p w14:paraId="6C96ED31" w14:textId="77777777" w:rsidR="00C854D9" w:rsidRPr="005D529F" w:rsidRDefault="00C854D9" w:rsidP="005D529F">
      <w:pPr>
        <w:rPr>
          <w:rFonts w:cs="Times New Roman"/>
          <w:lang w:val="en-GB"/>
        </w:rPr>
      </w:pPr>
      <w:r w:rsidRPr="005D529F">
        <w:rPr>
          <w:rFonts w:eastAsia="Times New Roman" w:cs="Times New Roman"/>
          <w:lang w:val="en-GB"/>
        </w:rPr>
        <w:t xml:space="preserve">— </w:t>
      </w:r>
      <w:r w:rsidRPr="005D529F">
        <w:rPr>
          <w:rFonts w:cs="Times New Roman"/>
          <w:lang w:val="en-GB"/>
        </w:rPr>
        <w:t>(1994): “El estudio de la satisfacción con la vida”, Intervención Psicosocial, 3:87-116.</w:t>
      </w:r>
    </w:p>
    <w:p w14:paraId="751653A1" w14:textId="77777777" w:rsidR="00C854D9" w:rsidRPr="005D529F" w:rsidRDefault="00C854D9" w:rsidP="005D529F">
      <w:pPr>
        <w:rPr>
          <w:rFonts w:cs="Times New Roman"/>
          <w:lang w:val="en-GB"/>
        </w:rPr>
      </w:pPr>
      <w:r w:rsidRPr="005D529F">
        <w:rPr>
          <w:rFonts w:eastAsia="Times New Roman" w:cs="Times New Roman"/>
          <w:lang w:val="en-GB"/>
        </w:rPr>
        <w:t>—</w:t>
      </w:r>
      <w:r w:rsidRPr="005D529F">
        <w:rPr>
          <w:rFonts w:cs="Times New Roman"/>
          <w:lang w:val="en-GB"/>
        </w:rPr>
        <w:t xml:space="preserve"> (1991): “Is Happiness Relative?”, Social Indicators Research, 24:1-34.</w:t>
      </w:r>
    </w:p>
    <w:p w14:paraId="749337CE" w14:textId="77777777" w:rsidR="00C854D9" w:rsidRPr="005D529F" w:rsidRDefault="00C854D9" w:rsidP="005D529F">
      <w:pPr>
        <w:rPr>
          <w:rFonts w:cs="Times New Roman"/>
          <w:lang w:val="en-GB"/>
        </w:rPr>
      </w:pPr>
      <w:r w:rsidRPr="005D529F">
        <w:rPr>
          <w:rFonts w:eastAsia="Times New Roman" w:cs="Times New Roman"/>
          <w:lang w:val="en-GB"/>
        </w:rPr>
        <w:t xml:space="preserve">— </w:t>
      </w:r>
      <w:r w:rsidRPr="005D529F">
        <w:rPr>
          <w:rFonts w:cs="Times New Roman"/>
          <w:lang w:val="en-GB"/>
        </w:rPr>
        <w:t>(1975 Veenhoven, R. (1984a): Conditions of happiness. Dordrecht: Kluwer (now Springer).</w:t>
      </w:r>
    </w:p>
    <w:p w14:paraId="4ED0BE77" w14:textId="77777777" w:rsidR="00C854D9" w:rsidRPr="005D529F" w:rsidRDefault="00C854D9" w:rsidP="005D529F">
      <w:pPr>
        <w:rPr>
          <w:rFonts w:cs="Times New Roman"/>
          <w:lang w:val="en-GB"/>
        </w:rPr>
      </w:pPr>
      <w:r w:rsidRPr="005D529F">
        <w:rPr>
          <w:rFonts w:eastAsia="Times New Roman" w:cs="Times New Roman"/>
          <w:lang w:val="en-GB"/>
        </w:rPr>
        <w:t xml:space="preserve">— </w:t>
      </w:r>
      <w:r w:rsidRPr="005D529F">
        <w:rPr>
          <w:rFonts w:cs="Times New Roman"/>
          <w:lang w:val="en-GB"/>
        </w:rPr>
        <w:t xml:space="preserve">(1984): World Database of Happiness: Continuous register of research on subjective enjoyment of life. Rotterdam: Erasmus University Rotterdam. Disponible en: </w:t>
      </w:r>
      <w:hyperlink r:id="rId81" w:history="1">
        <w:r w:rsidRPr="005D529F">
          <w:rPr>
            <w:rFonts w:cs="Times New Roman"/>
            <w:lang w:val="en-GB"/>
          </w:rPr>
          <w:t>http://worlddatabaseofhappiness.eur.nl</w:t>
        </w:r>
      </w:hyperlink>
    </w:p>
    <w:p w14:paraId="3927B2F9" w14:textId="77777777" w:rsidR="00C854D9" w:rsidRPr="005D529F" w:rsidRDefault="00C854D9" w:rsidP="005D529F">
      <w:pPr>
        <w:rPr>
          <w:rFonts w:cs="Times New Roman"/>
          <w:lang w:val="en-GB"/>
        </w:rPr>
      </w:pPr>
      <w:r w:rsidRPr="005D529F">
        <w:rPr>
          <w:rFonts w:cs="Times New Roman"/>
          <w:lang w:val="en-GB"/>
        </w:rPr>
        <w:t>Vignoli, D, Pirani, E. y Salvini, S. (2013): “Family Constellations and Life Satisfaction in Europe”, Social Indicators Research, DOI 10.1007/s11205-013-0372-1.</w:t>
      </w:r>
    </w:p>
    <w:p w14:paraId="4309C8D5" w14:textId="77777777" w:rsidR="00C854D9" w:rsidRPr="005D529F" w:rsidRDefault="00C854D9" w:rsidP="005D529F">
      <w:pPr>
        <w:rPr>
          <w:rFonts w:cs="Times New Roman"/>
          <w:lang w:val="en-GB"/>
        </w:rPr>
      </w:pPr>
      <w:r w:rsidRPr="005D529F">
        <w:rPr>
          <w:rFonts w:cs="Times New Roman"/>
          <w:lang w:val="en-GB"/>
        </w:rPr>
        <w:t>Vogel, J. (2002): “European welfare regimes and the transition to adulthood: A comparative and longitudinal perspective”, en Social Indicators Research, 59(2):275-299.</w:t>
      </w:r>
    </w:p>
    <w:p w14:paraId="696A6D11" w14:textId="77777777" w:rsidR="00C854D9" w:rsidRPr="005D529F" w:rsidRDefault="00C854D9" w:rsidP="005D529F">
      <w:pPr>
        <w:rPr>
          <w:rFonts w:cs="Times New Roman"/>
          <w:lang w:val="en-GB"/>
        </w:rPr>
      </w:pPr>
      <w:r w:rsidRPr="005D529F">
        <w:rPr>
          <w:rFonts w:cs="Times New Roman"/>
          <w:lang w:val="en-GB"/>
        </w:rPr>
        <w:t>Watson, D. Pichker, F., &amp; Wallace, Claire (2010): Second European Quality of Life Survey. Subjective well-being in Europe. Dublin: Eurofound.</w:t>
      </w:r>
    </w:p>
    <w:p w14:paraId="32E70F46" w14:textId="77777777" w:rsidR="00C854D9" w:rsidRPr="005D529F" w:rsidRDefault="00C854D9" w:rsidP="005D529F">
      <w:pPr>
        <w:rPr>
          <w:rFonts w:cs="Times New Roman"/>
          <w:lang w:val="en-GB"/>
        </w:rPr>
      </w:pPr>
      <w:r w:rsidRPr="005D529F">
        <w:rPr>
          <w:rFonts w:cs="Times New Roman"/>
          <w:lang w:val="en-GB"/>
        </w:rPr>
        <w:t>Watson, D.; Clark, L. A. y Tellegen, A. (1988): “Development and Validation of Brief Measures of Positive and Negative Affect: The PANAS Scales”, Journal of Personality and Social Psychology, 54(6): 1063-1070.</w:t>
      </w:r>
    </w:p>
    <w:p w14:paraId="6541D20F" w14:textId="77777777" w:rsidR="00C854D9" w:rsidRPr="005D529F" w:rsidRDefault="00C854D9" w:rsidP="005D529F">
      <w:pPr>
        <w:rPr>
          <w:rFonts w:cs="Times New Roman"/>
          <w:lang w:val="en-GB"/>
        </w:rPr>
      </w:pPr>
      <w:r w:rsidRPr="005D529F">
        <w:rPr>
          <w:rFonts w:cs="Times New Roman"/>
          <w:lang w:val="en-GB"/>
        </w:rPr>
        <w:t>Wilson, W. (1967): “Correlates of avowed happiness”, Psychological Bulletin, 67: 294-306.</w:t>
      </w:r>
    </w:p>
    <w:p w14:paraId="29247D4A" w14:textId="77777777" w:rsidR="00C854D9" w:rsidRPr="005D529F" w:rsidRDefault="00C854D9" w:rsidP="005D529F">
      <w:pPr>
        <w:rPr>
          <w:rFonts w:cs="Times New Roman"/>
          <w:lang w:val="en-GB"/>
        </w:rPr>
      </w:pPr>
      <w:r w:rsidRPr="005D529F">
        <w:rPr>
          <w:rFonts w:cs="Times New Roman"/>
          <w:lang w:val="en-GB"/>
        </w:rPr>
        <w:t>Wittrer, R., Okun, M., Stock, W., &amp; Haring, M. (1984): “Education and Subjective Well</w:t>
      </w:r>
      <w:r w:rsidRPr="005D529F">
        <w:rPr>
          <w:rFonts w:cs="Times New Roman"/>
          <w:lang w:val="en-GB"/>
        </w:rPr>
        <w:noBreakHyphen/>
        <w:t>Being: A Meta-Analysis” Educational Evaluation and Policy Analysis, 6(2):165-173.</w:t>
      </w:r>
    </w:p>
    <w:p w14:paraId="77E752AD" w14:textId="77777777" w:rsidR="00C854D9" w:rsidRPr="005D529F" w:rsidRDefault="00C854D9" w:rsidP="005D529F">
      <w:pPr>
        <w:rPr>
          <w:rFonts w:cs="Times New Roman"/>
          <w:lang w:val="en-GB"/>
        </w:rPr>
      </w:pPr>
      <w:r w:rsidRPr="005D529F">
        <w:rPr>
          <w:rFonts w:cs="Times New Roman"/>
          <w:lang w:val="en-GB"/>
        </w:rPr>
        <w:t>Woodcock, A. (2013): Teoría de las catástrofes. Barcelona, Cátedra.</w:t>
      </w:r>
    </w:p>
    <w:p w14:paraId="7E643E36" w14:textId="2EED85ED" w:rsidR="00776DB4" w:rsidRDefault="00C854D9" w:rsidP="005D529F">
      <w:pPr>
        <w:rPr>
          <w:rFonts w:cs="Times New Roman"/>
          <w:lang w:val="en-GB"/>
        </w:rPr>
      </w:pPr>
      <w:r w:rsidRPr="005D529F">
        <w:rPr>
          <w:rFonts w:cs="Times New Roman"/>
          <w:lang w:val="en-GB"/>
        </w:rPr>
        <w:t>Wulfgramm, M. (2014): “Life Satisfaction effects of unemployment in Europe: The moderating influence of labour market policy”, Journal of European Social Policy, 24(3):258-272.</w:t>
      </w:r>
    </w:p>
    <w:p w14:paraId="2F0F36F3" w14:textId="77777777" w:rsidR="00CE0A37" w:rsidRDefault="00CE0A37" w:rsidP="005D529F">
      <w:pPr>
        <w:rPr>
          <w:rFonts w:cs="Times New Roman"/>
          <w:lang w:val="en-GB"/>
        </w:rPr>
      </w:pPr>
    </w:p>
    <w:p w14:paraId="6894DBFA" w14:textId="77777777" w:rsidR="00CE0A37" w:rsidRDefault="00CE0A37" w:rsidP="005D529F">
      <w:pPr>
        <w:rPr>
          <w:rFonts w:cs="Times New Roman"/>
          <w:lang w:val="en-GB"/>
        </w:rPr>
        <w:sectPr w:rsidR="00CE0A37" w:rsidSect="008E2488">
          <w:headerReference w:type="default" r:id="rId82"/>
          <w:pgSz w:w="11900" w:h="16840"/>
          <w:pgMar w:top="2041" w:right="1814" w:bottom="1758" w:left="1814" w:header="709" w:footer="709" w:gutter="0"/>
          <w:pgNumType w:start="141"/>
          <w:cols w:space="708"/>
          <w:titlePg/>
          <w:docGrid w:linePitch="360"/>
        </w:sectPr>
      </w:pPr>
    </w:p>
    <w:p w14:paraId="48FA335C" w14:textId="570CA2EA" w:rsidR="007E422D" w:rsidRPr="00A03D4E" w:rsidRDefault="00A03D4E" w:rsidP="0044431A">
      <w:pPr>
        <w:pStyle w:val="Ttulo1"/>
      </w:pPr>
      <w:bookmarkStart w:id="138" w:name="_Toc311993064"/>
      <w:bookmarkStart w:id="139" w:name="_Toc311998423"/>
      <w:r>
        <w:lastRenderedPageBreak/>
        <w:t>Índice detallado</w:t>
      </w:r>
      <w:bookmarkEnd w:id="138"/>
      <w:bookmarkEnd w:id="139"/>
    </w:p>
    <w:p w14:paraId="4A87D56F" w14:textId="77777777" w:rsidR="00094654" w:rsidRDefault="00094654">
      <w:pPr>
        <w:pStyle w:val="TDC2"/>
        <w:tabs>
          <w:tab w:val="right" w:pos="8262"/>
        </w:tabs>
        <w:rPr>
          <w:noProof/>
          <w:sz w:val="24"/>
          <w:szCs w:val="24"/>
          <w:lang w:val="es-ES" w:eastAsia="ja-JP"/>
        </w:rPr>
      </w:pPr>
      <w:r>
        <w:rPr>
          <w:rFonts w:cs="Times New Roman"/>
          <w:b/>
          <w:color w:val="365F91" w:themeColor="accent1" w:themeShade="BF"/>
        </w:rPr>
        <w:fldChar w:fldCharType="begin"/>
      </w:r>
      <w:r>
        <w:rPr>
          <w:rFonts w:cs="Times New Roman"/>
          <w:b/>
          <w:color w:val="365F91" w:themeColor="accent1" w:themeShade="BF"/>
        </w:rPr>
        <w:instrText xml:space="preserve"> TOC \o "1-3" \f </w:instrText>
      </w:r>
      <w:r>
        <w:rPr>
          <w:rFonts w:cs="Times New Roman"/>
          <w:b/>
          <w:color w:val="365F91" w:themeColor="accent1" w:themeShade="BF"/>
        </w:rPr>
        <w:fldChar w:fldCharType="separate"/>
      </w:r>
      <w:r w:rsidRPr="002254E5">
        <w:rPr>
          <w:i/>
          <w:noProof/>
        </w:rPr>
        <w:t>Índice</w:t>
      </w:r>
      <w:r>
        <w:rPr>
          <w:noProof/>
        </w:rPr>
        <w:tab/>
      </w:r>
      <w:r>
        <w:rPr>
          <w:noProof/>
        </w:rPr>
        <w:fldChar w:fldCharType="begin"/>
      </w:r>
      <w:r>
        <w:rPr>
          <w:noProof/>
        </w:rPr>
        <w:instrText xml:space="preserve"> PAGEREF _Toc311993001 \h </w:instrText>
      </w:r>
      <w:r>
        <w:rPr>
          <w:noProof/>
        </w:rPr>
      </w:r>
      <w:r>
        <w:rPr>
          <w:noProof/>
        </w:rPr>
        <w:fldChar w:fldCharType="separate"/>
      </w:r>
      <w:r w:rsidR="005A4AF6">
        <w:rPr>
          <w:noProof/>
        </w:rPr>
        <w:t>5</w:t>
      </w:r>
      <w:r>
        <w:rPr>
          <w:noProof/>
        </w:rPr>
        <w:fldChar w:fldCharType="end"/>
      </w:r>
    </w:p>
    <w:p w14:paraId="5813DF1C" w14:textId="77777777" w:rsidR="00094654" w:rsidRDefault="00094654">
      <w:pPr>
        <w:pStyle w:val="TDC1"/>
        <w:tabs>
          <w:tab w:val="right" w:pos="8262"/>
        </w:tabs>
        <w:rPr>
          <w:rFonts w:asciiTheme="minorHAnsi" w:hAnsiTheme="minorHAnsi"/>
          <w:b w:val="0"/>
          <w:noProof/>
          <w:color w:val="auto"/>
          <w:lang w:val="es-ES" w:eastAsia="ja-JP"/>
        </w:rPr>
      </w:pPr>
      <w:r>
        <w:rPr>
          <w:noProof/>
        </w:rPr>
        <w:t>Introducción</w:t>
      </w:r>
      <w:r>
        <w:rPr>
          <w:noProof/>
        </w:rPr>
        <w:tab/>
      </w:r>
      <w:r>
        <w:rPr>
          <w:noProof/>
        </w:rPr>
        <w:fldChar w:fldCharType="begin"/>
      </w:r>
      <w:r>
        <w:rPr>
          <w:noProof/>
        </w:rPr>
        <w:instrText xml:space="preserve"> PAGEREF _Toc311993002 \h </w:instrText>
      </w:r>
      <w:r>
        <w:rPr>
          <w:noProof/>
        </w:rPr>
      </w:r>
      <w:r>
        <w:rPr>
          <w:noProof/>
        </w:rPr>
        <w:fldChar w:fldCharType="separate"/>
      </w:r>
      <w:r w:rsidR="005A4AF6">
        <w:rPr>
          <w:noProof/>
        </w:rPr>
        <w:t>4</w:t>
      </w:r>
      <w:r>
        <w:rPr>
          <w:noProof/>
        </w:rPr>
        <w:fldChar w:fldCharType="end"/>
      </w:r>
    </w:p>
    <w:p w14:paraId="0D632292" w14:textId="77777777" w:rsidR="00094654" w:rsidRDefault="00094654">
      <w:pPr>
        <w:pStyle w:val="TDC3"/>
        <w:tabs>
          <w:tab w:val="right" w:pos="8262"/>
        </w:tabs>
        <w:rPr>
          <w:i w:val="0"/>
          <w:noProof/>
          <w:sz w:val="24"/>
          <w:szCs w:val="24"/>
          <w:lang w:val="es-ES" w:eastAsia="ja-JP"/>
        </w:rPr>
      </w:pPr>
      <w:r>
        <w:rPr>
          <w:noProof/>
        </w:rPr>
        <w:t>Perspectiva</w:t>
      </w:r>
      <w:r>
        <w:rPr>
          <w:noProof/>
        </w:rPr>
        <w:tab/>
      </w:r>
      <w:r>
        <w:rPr>
          <w:noProof/>
        </w:rPr>
        <w:fldChar w:fldCharType="begin"/>
      </w:r>
      <w:r>
        <w:rPr>
          <w:noProof/>
        </w:rPr>
        <w:instrText xml:space="preserve"> PAGEREF _Toc311993003 \h </w:instrText>
      </w:r>
      <w:r>
        <w:rPr>
          <w:noProof/>
        </w:rPr>
      </w:r>
      <w:r>
        <w:rPr>
          <w:noProof/>
        </w:rPr>
        <w:fldChar w:fldCharType="separate"/>
      </w:r>
      <w:r w:rsidR="005A4AF6">
        <w:rPr>
          <w:noProof/>
        </w:rPr>
        <w:t>4</w:t>
      </w:r>
      <w:r>
        <w:rPr>
          <w:noProof/>
        </w:rPr>
        <w:fldChar w:fldCharType="end"/>
      </w:r>
    </w:p>
    <w:p w14:paraId="2F31F602" w14:textId="77777777" w:rsidR="00094654" w:rsidRDefault="00094654">
      <w:pPr>
        <w:pStyle w:val="TDC3"/>
        <w:tabs>
          <w:tab w:val="right" w:pos="8262"/>
        </w:tabs>
        <w:rPr>
          <w:i w:val="0"/>
          <w:noProof/>
          <w:sz w:val="24"/>
          <w:szCs w:val="24"/>
          <w:lang w:val="es-ES" w:eastAsia="ja-JP"/>
        </w:rPr>
      </w:pPr>
      <w:r>
        <w:rPr>
          <w:noProof/>
        </w:rPr>
        <w:t>Técnica</w:t>
      </w:r>
      <w:r>
        <w:rPr>
          <w:noProof/>
        </w:rPr>
        <w:tab/>
      </w:r>
      <w:r>
        <w:rPr>
          <w:noProof/>
        </w:rPr>
        <w:fldChar w:fldCharType="begin"/>
      </w:r>
      <w:r>
        <w:rPr>
          <w:noProof/>
        </w:rPr>
        <w:instrText xml:space="preserve"> PAGEREF _Toc311993004 \h </w:instrText>
      </w:r>
      <w:r>
        <w:rPr>
          <w:noProof/>
        </w:rPr>
      </w:r>
      <w:r>
        <w:rPr>
          <w:noProof/>
        </w:rPr>
        <w:fldChar w:fldCharType="separate"/>
      </w:r>
      <w:r w:rsidR="005A4AF6">
        <w:rPr>
          <w:noProof/>
        </w:rPr>
        <w:t>6</w:t>
      </w:r>
      <w:r>
        <w:rPr>
          <w:noProof/>
        </w:rPr>
        <w:fldChar w:fldCharType="end"/>
      </w:r>
    </w:p>
    <w:p w14:paraId="2AB782B2" w14:textId="77777777" w:rsidR="00094654" w:rsidRDefault="00094654">
      <w:pPr>
        <w:pStyle w:val="TDC3"/>
        <w:tabs>
          <w:tab w:val="right" w:pos="8262"/>
        </w:tabs>
        <w:rPr>
          <w:i w:val="0"/>
          <w:noProof/>
          <w:sz w:val="24"/>
          <w:szCs w:val="24"/>
          <w:lang w:val="es-ES" w:eastAsia="ja-JP"/>
        </w:rPr>
      </w:pPr>
      <w:r>
        <w:rPr>
          <w:noProof/>
        </w:rPr>
        <w:t>Contenido</w:t>
      </w:r>
      <w:r>
        <w:rPr>
          <w:noProof/>
        </w:rPr>
        <w:tab/>
      </w:r>
      <w:r>
        <w:rPr>
          <w:noProof/>
        </w:rPr>
        <w:fldChar w:fldCharType="begin"/>
      </w:r>
      <w:r>
        <w:rPr>
          <w:noProof/>
        </w:rPr>
        <w:instrText xml:space="preserve"> PAGEREF _Toc311993005 \h </w:instrText>
      </w:r>
      <w:r>
        <w:rPr>
          <w:noProof/>
        </w:rPr>
      </w:r>
      <w:r>
        <w:rPr>
          <w:noProof/>
        </w:rPr>
        <w:fldChar w:fldCharType="separate"/>
      </w:r>
      <w:r w:rsidR="005A4AF6">
        <w:rPr>
          <w:noProof/>
        </w:rPr>
        <w:t>9</w:t>
      </w:r>
      <w:r>
        <w:rPr>
          <w:noProof/>
        </w:rPr>
        <w:fldChar w:fldCharType="end"/>
      </w:r>
    </w:p>
    <w:p w14:paraId="5D1DA394" w14:textId="77777777" w:rsidR="00094654" w:rsidRDefault="00094654">
      <w:pPr>
        <w:pStyle w:val="TDC1"/>
        <w:tabs>
          <w:tab w:val="right" w:pos="8262"/>
        </w:tabs>
        <w:rPr>
          <w:rFonts w:asciiTheme="minorHAnsi" w:hAnsiTheme="minorHAnsi"/>
          <w:b w:val="0"/>
          <w:noProof/>
          <w:color w:val="auto"/>
          <w:lang w:val="es-ES" w:eastAsia="ja-JP"/>
        </w:rPr>
      </w:pPr>
      <w:r>
        <w:rPr>
          <w:noProof/>
        </w:rPr>
        <w:t>1  Sobre la felicidad</w:t>
      </w:r>
      <w:r>
        <w:rPr>
          <w:noProof/>
        </w:rPr>
        <w:tab/>
      </w:r>
      <w:r>
        <w:rPr>
          <w:noProof/>
        </w:rPr>
        <w:fldChar w:fldCharType="begin"/>
      </w:r>
      <w:r>
        <w:rPr>
          <w:noProof/>
        </w:rPr>
        <w:instrText xml:space="preserve"> PAGEREF _Toc311993006 \h </w:instrText>
      </w:r>
      <w:r>
        <w:rPr>
          <w:noProof/>
        </w:rPr>
      </w:r>
      <w:r>
        <w:rPr>
          <w:noProof/>
        </w:rPr>
        <w:fldChar w:fldCharType="separate"/>
      </w:r>
      <w:r w:rsidR="005A4AF6">
        <w:rPr>
          <w:noProof/>
        </w:rPr>
        <w:t>11</w:t>
      </w:r>
      <w:r>
        <w:rPr>
          <w:noProof/>
        </w:rPr>
        <w:fldChar w:fldCharType="end"/>
      </w:r>
    </w:p>
    <w:p w14:paraId="55195874" w14:textId="77777777" w:rsidR="00094654" w:rsidRDefault="00094654">
      <w:pPr>
        <w:pStyle w:val="TDC2"/>
        <w:tabs>
          <w:tab w:val="right" w:pos="8262"/>
        </w:tabs>
        <w:rPr>
          <w:noProof/>
          <w:sz w:val="24"/>
          <w:szCs w:val="24"/>
          <w:lang w:val="es-ES" w:eastAsia="ja-JP"/>
        </w:rPr>
      </w:pPr>
      <w:r>
        <w:rPr>
          <w:noProof/>
        </w:rPr>
        <w:t>1.1  Yang-chu</w:t>
      </w:r>
      <w:r>
        <w:rPr>
          <w:noProof/>
        </w:rPr>
        <w:tab/>
      </w:r>
      <w:r>
        <w:rPr>
          <w:noProof/>
        </w:rPr>
        <w:fldChar w:fldCharType="begin"/>
      </w:r>
      <w:r>
        <w:rPr>
          <w:noProof/>
        </w:rPr>
        <w:instrText xml:space="preserve"> PAGEREF _Toc311993007 \h </w:instrText>
      </w:r>
      <w:r>
        <w:rPr>
          <w:noProof/>
        </w:rPr>
      </w:r>
      <w:r>
        <w:rPr>
          <w:noProof/>
        </w:rPr>
        <w:fldChar w:fldCharType="separate"/>
      </w:r>
      <w:r w:rsidR="005A4AF6">
        <w:rPr>
          <w:noProof/>
        </w:rPr>
        <w:t>11</w:t>
      </w:r>
      <w:r>
        <w:rPr>
          <w:noProof/>
        </w:rPr>
        <w:fldChar w:fldCharType="end"/>
      </w:r>
    </w:p>
    <w:p w14:paraId="4863455D" w14:textId="77777777" w:rsidR="00094654" w:rsidRDefault="00094654">
      <w:pPr>
        <w:pStyle w:val="TDC2"/>
        <w:tabs>
          <w:tab w:val="right" w:pos="8262"/>
        </w:tabs>
        <w:rPr>
          <w:noProof/>
          <w:sz w:val="24"/>
          <w:szCs w:val="24"/>
          <w:lang w:val="es-ES" w:eastAsia="ja-JP"/>
        </w:rPr>
      </w:pPr>
      <w:r>
        <w:rPr>
          <w:noProof/>
        </w:rPr>
        <w:t>1.2  Epicuro</w:t>
      </w:r>
      <w:r>
        <w:rPr>
          <w:noProof/>
        </w:rPr>
        <w:tab/>
      </w:r>
      <w:r>
        <w:rPr>
          <w:noProof/>
        </w:rPr>
        <w:fldChar w:fldCharType="begin"/>
      </w:r>
      <w:r>
        <w:rPr>
          <w:noProof/>
        </w:rPr>
        <w:instrText xml:space="preserve"> PAGEREF _Toc311993008 \h </w:instrText>
      </w:r>
      <w:r>
        <w:rPr>
          <w:noProof/>
        </w:rPr>
      </w:r>
      <w:r>
        <w:rPr>
          <w:noProof/>
        </w:rPr>
        <w:fldChar w:fldCharType="separate"/>
      </w:r>
      <w:r w:rsidR="005A4AF6">
        <w:rPr>
          <w:noProof/>
        </w:rPr>
        <w:t>12</w:t>
      </w:r>
      <w:r>
        <w:rPr>
          <w:noProof/>
        </w:rPr>
        <w:fldChar w:fldCharType="end"/>
      </w:r>
    </w:p>
    <w:p w14:paraId="2368D7DB" w14:textId="77777777" w:rsidR="00094654" w:rsidRDefault="00094654">
      <w:pPr>
        <w:pStyle w:val="TDC2"/>
        <w:tabs>
          <w:tab w:val="right" w:pos="8262"/>
        </w:tabs>
        <w:rPr>
          <w:noProof/>
          <w:sz w:val="24"/>
          <w:szCs w:val="24"/>
          <w:lang w:val="es-ES" w:eastAsia="ja-JP"/>
        </w:rPr>
      </w:pPr>
      <w:r>
        <w:rPr>
          <w:noProof/>
        </w:rPr>
        <w:t>1.3  Aristóteles</w:t>
      </w:r>
      <w:r>
        <w:rPr>
          <w:noProof/>
        </w:rPr>
        <w:tab/>
      </w:r>
      <w:r>
        <w:rPr>
          <w:noProof/>
        </w:rPr>
        <w:fldChar w:fldCharType="begin"/>
      </w:r>
      <w:r>
        <w:rPr>
          <w:noProof/>
        </w:rPr>
        <w:instrText xml:space="preserve"> PAGEREF _Toc311993009 \h </w:instrText>
      </w:r>
      <w:r>
        <w:rPr>
          <w:noProof/>
        </w:rPr>
      </w:r>
      <w:r>
        <w:rPr>
          <w:noProof/>
        </w:rPr>
        <w:fldChar w:fldCharType="separate"/>
      </w:r>
      <w:r w:rsidR="005A4AF6">
        <w:rPr>
          <w:noProof/>
        </w:rPr>
        <w:t>14</w:t>
      </w:r>
      <w:r>
        <w:rPr>
          <w:noProof/>
        </w:rPr>
        <w:fldChar w:fldCharType="end"/>
      </w:r>
    </w:p>
    <w:p w14:paraId="082DA296" w14:textId="77777777" w:rsidR="00094654" w:rsidRDefault="00094654">
      <w:pPr>
        <w:pStyle w:val="TDC2"/>
        <w:tabs>
          <w:tab w:val="right" w:pos="8262"/>
        </w:tabs>
        <w:rPr>
          <w:noProof/>
          <w:sz w:val="24"/>
          <w:szCs w:val="24"/>
          <w:lang w:val="es-ES" w:eastAsia="ja-JP"/>
        </w:rPr>
      </w:pPr>
      <w:r>
        <w:rPr>
          <w:noProof/>
        </w:rPr>
        <w:t>1.4  Demócrito</w:t>
      </w:r>
      <w:r>
        <w:rPr>
          <w:noProof/>
        </w:rPr>
        <w:tab/>
      </w:r>
      <w:r>
        <w:rPr>
          <w:noProof/>
        </w:rPr>
        <w:fldChar w:fldCharType="begin"/>
      </w:r>
      <w:r>
        <w:rPr>
          <w:noProof/>
        </w:rPr>
        <w:instrText xml:space="preserve"> PAGEREF _Toc311993010 \h </w:instrText>
      </w:r>
      <w:r>
        <w:rPr>
          <w:noProof/>
        </w:rPr>
      </w:r>
      <w:r>
        <w:rPr>
          <w:noProof/>
        </w:rPr>
        <w:fldChar w:fldCharType="separate"/>
      </w:r>
      <w:r w:rsidR="005A4AF6">
        <w:rPr>
          <w:noProof/>
        </w:rPr>
        <w:t>16</w:t>
      </w:r>
      <w:r>
        <w:rPr>
          <w:noProof/>
        </w:rPr>
        <w:fldChar w:fldCharType="end"/>
      </w:r>
    </w:p>
    <w:p w14:paraId="59C3068B" w14:textId="77777777" w:rsidR="00094654" w:rsidRDefault="00094654">
      <w:pPr>
        <w:pStyle w:val="TDC2"/>
        <w:tabs>
          <w:tab w:val="right" w:pos="8262"/>
        </w:tabs>
        <w:rPr>
          <w:noProof/>
          <w:sz w:val="24"/>
          <w:szCs w:val="24"/>
          <w:lang w:val="es-ES" w:eastAsia="ja-JP"/>
        </w:rPr>
      </w:pPr>
      <w:r>
        <w:rPr>
          <w:noProof/>
        </w:rPr>
        <w:t>1.5  La felicidad como correspondencia entre posibilidad y realidad</w:t>
      </w:r>
      <w:r>
        <w:rPr>
          <w:noProof/>
        </w:rPr>
        <w:tab/>
      </w:r>
      <w:r>
        <w:rPr>
          <w:noProof/>
        </w:rPr>
        <w:fldChar w:fldCharType="begin"/>
      </w:r>
      <w:r>
        <w:rPr>
          <w:noProof/>
        </w:rPr>
        <w:instrText xml:space="preserve"> PAGEREF _Toc311993011 \h </w:instrText>
      </w:r>
      <w:r>
        <w:rPr>
          <w:noProof/>
        </w:rPr>
      </w:r>
      <w:r>
        <w:rPr>
          <w:noProof/>
        </w:rPr>
        <w:fldChar w:fldCharType="separate"/>
      </w:r>
      <w:r w:rsidR="005A4AF6">
        <w:rPr>
          <w:noProof/>
        </w:rPr>
        <w:t>18</w:t>
      </w:r>
      <w:r>
        <w:rPr>
          <w:noProof/>
        </w:rPr>
        <w:fldChar w:fldCharType="end"/>
      </w:r>
    </w:p>
    <w:p w14:paraId="29DEE939" w14:textId="77777777" w:rsidR="00094654" w:rsidRDefault="00094654">
      <w:pPr>
        <w:pStyle w:val="TDC1"/>
        <w:tabs>
          <w:tab w:val="right" w:pos="8262"/>
        </w:tabs>
        <w:rPr>
          <w:rFonts w:asciiTheme="minorHAnsi" w:hAnsiTheme="minorHAnsi"/>
          <w:b w:val="0"/>
          <w:noProof/>
          <w:color w:val="auto"/>
          <w:lang w:val="es-ES" w:eastAsia="ja-JP"/>
        </w:rPr>
      </w:pPr>
      <w:r>
        <w:rPr>
          <w:noProof/>
        </w:rPr>
        <w:t>2  La medida del bienestar subjetivo</w:t>
      </w:r>
      <w:r>
        <w:rPr>
          <w:noProof/>
        </w:rPr>
        <w:tab/>
      </w:r>
      <w:r>
        <w:rPr>
          <w:noProof/>
        </w:rPr>
        <w:fldChar w:fldCharType="begin"/>
      </w:r>
      <w:r>
        <w:rPr>
          <w:noProof/>
        </w:rPr>
        <w:instrText xml:space="preserve"> PAGEREF _Toc311993012 \h </w:instrText>
      </w:r>
      <w:r>
        <w:rPr>
          <w:noProof/>
        </w:rPr>
      </w:r>
      <w:r>
        <w:rPr>
          <w:noProof/>
        </w:rPr>
        <w:fldChar w:fldCharType="separate"/>
      </w:r>
      <w:r w:rsidR="005A4AF6">
        <w:rPr>
          <w:noProof/>
        </w:rPr>
        <w:t>20</w:t>
      </w:r>
      <w:r>
        <w:rPr>
          <w:noProof/>
        </w:rPr>
        <w:fldChar w:fldCharType="end"/>
      </w:r>
    </w:p>
    <w:p w14:paraId="67A60AAB" w14:textId="77777777" w:rsidR="00094654" w:rsidRDefault="00094654">
      <w:pPr>
        <w:pStyle w:val="TDC2"/>
        <w:tabs>
          <w:tab w:val="right" w:pos="8262"/>
        </w:tabs>
        <w:rPr>
          <w:noProof/>
          <w:sz w:val="24"/>
          <w:szCs w:val="24"/>
          <w:lang w:val="es-ES" w:eastAsia="ja-JP"/>
        </w:rPr>
      </w:pPr>
      <w:r>
        <w:rPr>
          <w:noProof/>
        </w:rPr>
        <w:t>2.1  ¿Se puede medir la felicidad?</w:t>
      </w:r>
      <w:r>
        <w:rPr>
          <w:noProof/>
        </w:rPr>
        <w:tab/>
      </w:r>
      <w:r>
        <w:rPr>
          <w:noProof/>
        </w:rPr>
        <w:fldChar w:fldCharType="begin"/>
      </w:r>
      <w:r>
        <w:rPr>
          <w:noProof/>
        </w:rPr>
        <w:instrText xml:space="preserve"> PAGEREF _Toc311993013 \h </w:instrText>
      </w:r>
      <w:r>
        <w:rPr>
          <w:noProof/>
        </w:rPr>
      </w:r>
      <w:r>
        <w:rPr>
          <w:noProof/>
        </w:rPr>
        <w:fldChar w:fldCharType="separate"/>
      </w:r>
      <w:r w:rsidR="005A4AF6">
        <w:rPr>
          <w:noProof/>
        </w:rPr>
        <w:t>20</w:t>
      </w:r>
      <w:r>
        <w:rPr>
          <w:noProof/>
        </w:rPr>
        <w:fldChar w:fldCharType="end"/>
      </w:r>
    </w:p>
    <w:p w14:paraId="67F42F97" w14:textId="77777777" w:rsidR="00094654" w:rsidRDefault="00094654">
      <w:pPr>
        <w:pStyle w:val="TDC2"/>
        <w:tabs>
          <w:tab w:val="right" w:pos="8262"/>
        </w:tabs>
        <w:rPr>
          <w:noProof/>
          <w:sz w:val="24"/>
          <w:szCs w:val="24"/>
          <w:lang w:val="es-ES" w:eastAsia="ja-JP"/>
        </w:rPr>
      </w:pPr>
      <w:r w:rsidRPr="002254E5">
        <w:rPr>
          <w:noProof/>
          <w:lang w:val="es-ES"/>
        </w:rPr>
        <w:t>2.2  El concepto de bienestar socioemocional</w:t>
      </w:r>
      <w:r>
        <w:rPr>
          <w:noProof/>
        </w:rPr>
        <w:tab/>
      </w:r>
      <w:r>
        <w:rPr>
          <w:noProof/>
        </w:rPr>
        <w:fldChar w:fldCharType="begin"/>
      </w:r>
      <w:r>
        <w:rPr>
          <w:noProof/>
        </w:rPr>
        <w:instrText xml:space="preserve"> PAGEREF _Toc311993014 \h </w:instrText>
      </w:r>
      <w:r>
        <w:rPr>
          <w:noProof/>
        </w:rPr>
      </w:r>
      <w:r>
        <w:rPr>
          <w:noProof/>
        </w:rPr>
        <w:fldChar w:fldCharType="separate"/>
      </w:r>
      <w:r w:rsidR="005A4AF6">
        <w:rPr>
          <w:noProof/>
        </w:rPr>
        <w:t>23</w:t>
      </w:r>
      <w:r>
        <w:rPr>
          <w:noProof/>
        </w:rPr>
        <w:fldChar w:fldCharType="end"/>
      </w:r>
    </w:p>
    <w:p w14:paraId="1DD29C28" w14:textId="77777777" w:rsidR="00094654" w:rsidRDefault="00094654">
      <w:pPr>
        <w:pStyle w:val="TDC3"/>
        <w:tabs>
          <w:tab w:val="right" w:pos="8262"/>
        </w:tabs>
        <w:rPr>
          <w:i w:val="0"/>
          <w:noProof/>
          <w:sz w:val="24"/>
          <w:szCs w:val="24"/>
          <w:lang w:val="es-ES" w:eastAsia="ja-JP"/>
        </w:rPr>
      </w:pPr>
      <w:r>
        <w:rPr>
          <w:noProof/>
        </w:rPr>
        <w:t>La teoría socio-interaccional de las emociones</w:t>
      </w:r>
      <w:r>
        <w:rPr>
          <w:noProof/>
        </w:rPr>
        <w:tab/>
      </w:r>
      <w:r>
        <w:rPr>
          <w:noProof/>
        </w:rPr>
        <w:fldChar w:fldCharType="begin"/>
      </w:r>
      <w:r>
        <w:rPr>
          <w:noProof/>
        </w:rPr>
        <w:instrText xml:space="preserve"> PAGEREF _Toc311993015 \h </w:instrText>
      </w:r>
      <w:r>
        <w:rPr>
          <w:noProof/>
        </w:rPr>
      </w:r>
      <w:r>
        <w:rPr>
          <w:noProof/>
        </w:rPr>
        <w:fldChar w:fldCharType="separate"/>
      </w:r>
      <w:r w:rsidR="005A4AF6">
        <w:rPr>
          <w:noProof/>
        </w:rPr>
        <w:t>24</w:t>
      </w:r>
      <w:r>
        <w:rPr>
          <w:noProof/>
        </w:rPr>
        <w:fldChar w:fldCharType="end"/>
      </w:r>
    </w:p>
    <w:p w14:paraId="33BD7E61" w14:textId="77777777" w:rsidR="00094654" w:rsidRDefault="00094654">
      <w:pPr>
        <w:pStyle w:val="TDC3"/>
        <w:tabs>
          <w:tab w:val="right" w:pos="8262"/>
        </w:tabs>
        <w:rPr>
          <w:i w:val="0"/>
          <w:noProof/>
          <w:sz w:val="24"/>
          <w:szCs w:val="24"/>
          <w:lang w:val="es-ES" w:eastAsia="ja-JP"/>
        </w:rPr>
      </w:pPr>
      <w:r w:rsidRPr="002254E5">
        <w:rPr>
          <w:noProof/>
          <w:lang w:val="es-ES"/>
        </w:rPr>
        <w:t>La teoría de las cadenas de rituales de interacción</w:t>
      </w:r>
      <w:r>
        <w:rPr>
          <w:noProof/>
        </w:rPr>
        <w:tab/>
      </w:r>
      <w:r>
        <w:rPr>
          <w:noProof/>
        </w:rPr>
        <w:fldChar w:fldCharType="begin"/>
      </w:r>
      <w:r>
        <w:rPr>
          <w:noProof/>
        </w:rPr>
        <w:instrText xml:space="preserve"> PAGEREF _Toc311993016 \h </w:instrText>
      </w:r>
      <w:r>
        <w:rPr>
          <w:noProof/>
        </w:rPr>
      </w:r>
      <w:r>
        <w:rPr>
          <w:noProof/>
        </w:rPr>
        <w:fldChar w:fldCharType="separate"/>
      </w:r>
      <w:r w:rsidR="005A4AF6">
        <w:rPr>
          <w:noProof/>
        </w:rPr>
        <w:t>26</w:t>
      </w:r>
      <w:r>
        <w:rPr>
          <w:noProof/>
        </w:rPr>
        <w:fldChar w:fldCharType="end"/>
      </w:r>
    </w:p>
    <w:p w14:paraId="07A60C89" w14:textId="77777777" w:rsidR="00094654" w:rsidRDefault="00094654">
      <w:pPr>
        <w:pStyle w:val="TDC2"/>
        <w:tabs>
          <w:tab w:val="right" w:pos="8262"/>
        </w:tabs>
        <w:rPr>
          <w:noProof/>
          <w:sz w:val="24"/>
          <w:szCs w:val="24"/>
          <w:lang w:val="es-ES" w:eastAsia="ja-JP"/>
        </w:rPr>
      </w:pPr>
      <w:r>
        <w:rPr>
          <w:noProof/>
        </w:rPr>
        <w:t>2.3  La medida del bienestar socioemocional</w:t>
      </w:r>
      <w:r>
        <w:rPr>
          <w:noProof/>
        </w:rPr>
        <w:tab/>
      </w:r>
      <w:r>
        <w:rPr>
          <w:noProof/>
        </w:rPr>
        <w:fldChar w:fldCharType="begin"/>
      </w:r>
      <w:r>
        <w:rPr>
          <w:noProof/>
        </w:rPr>
        <w:instrText xml:space="preserve"> PAGEREF _Toc311993017 \h </w:instrText>
      </w:r>
      <w:r>
        <w:rPr>
          <w:noProof/>
        </w:rPr>
      </w:r>
      <w:r>
        <w:rPr>
          <w:noProof/>
        </w:rPr>
        <w:fldChar w:fldCharType="separate"/>
      </w:r>
      <w:r w:rsidR="005A4AF6">
        <w:rPr>
          <w:noProof/>
        </w:rPr>
        <w:t>28</w:t>
      </w:r>
      <w:r>
        <w:rPr>
          <w:noProof/>
        </w:rPr>
        <w:fldChar w:fldCharType="end"/>
      </w:r>
    </w:p>
    <w:p w14:paraId="083B8737" w14:textId="77777777" w:rsidR="00094654" w:rsidRDefault="00094654">
      <w:pPr>
        <w:pStyle w:val="TDC2"/>
        <w:tabs>
          <w:tab w:val="right" w:pos="8262"/>
        </w:tabs>
        <w:rPr>
          <w:noProof/>
          <w:sz w:val="24"/>
          <w:szCs w:val="24"/>
          <w:lang w:val="es-ES" w:eastAsia="ja-JP"/>
        </w:rPr>
      </w:pPr>
      <w:r>
        <w:rPr>
          <w:noProof/>
        </w:rPr>
        <w:t>2.4  Las dimensiones de la felicidad</w:t>
      </w:r>
      <w:r>
        <w:rPr>
          <w:noProof/>
        </w:rPr>
        <w:tab/>
      </w:r>
      <w:r>
        <w:rPr>
          <w:noProof/>
        </w:rPr>
        <w:fldChar w:fldCharType="begin"/>
      </w:r>
      <w:r>
        <w:rPr>
          <w:noProof/>
        </w:rPr>
        <w:instrText xml:space="preserve"> PAGEREF _Toc311993018 \h </w:instrText>
      </w:r>
      <w:r>
        <w:rPr>
          <w:noProof/>
        </w:rPr>
      </w:r>
      <w:r>
        <w:rPr>
          <w:noProof/>
        </w:rPr>
        <w:fldChar w:fldCharType="separate"/>
      </w:r>
      <w:r w:rsidR="005A4AF6">
        <w:rPr>
          <w:noProof/>
        </w:rPr>
        <w:t>32</w:t>
      </w:r>
      <w:r>
        <w:rPr>
          <w:noProof/>
        </w:rPr>
        <w:fldChar w:fldCharType="end"/>
      </w:r>
    </w:p>
    <w:p w14:paraId="6EBEF93B" w14:textId="77777777" w:rsidR="00094654" w:rsidRDefault="00094654">
      <w:pPr>
        <w:pStyle w:val="TDC3"/>
        <w:tabs>
          <w:tab w:val="right" w:pos="8262"/>
        </w:tabs>
        <w:rPr>
          <w:i w:val="0"/>
          <w:noProof/>
          <w:sz w:val="24"/>
          <w:szCs w:val="24"/>
          <w:lang w:val="es-ES" w:eastAsia="ja-JP"/>
        </w:rPr>
      </w:pPr>
      <w:r>
        <w:rPr>
          <w:noProof/>
        </w:rPr>
        <w:t>f1)</w:t>
      </w:r>
      <w:r>
        <w:rPr>
          <w:noProof/>
        </w:rPr>
        <w:tab/>
      </w:r>
      <w:r>
        <w:rPr>
          <w:noProof/>
        </w:rPr>
        <w:fldChar w:fldCharType="begin"/>
      </w:r>
      <w:r>
        <w:rPr>
          <w:noProof/>
        </w:rPr>
        <w:instrText xml:space="preserve"> PAGEREF _Toc311993019 \h </w:instrText>
      </w:r>
      <w:r>
        <w:rPr>
          <w:noProof/>
        </w:rPr>
      </w:r>
      <w:r>
        <w:rPr>
          <w:noProof/>
        </w:rPr>
        <w:fldChar w:fldCharType="separate"/>
      </w:r>
      <w:r w:rsidR="005A4AF6">
        <w:rPr>
          <w:noProof/>
        </w:rPr>
        <w:t>33</w:t>
      </w:r>
      <w:r>
        <w:rPr>
          <w:noProof/>
        </w:rPr>
        <w:fldChar w:fldCharType="end"/>
      </w:r>
    </w:p>
    <w:p w14:paraId="2F6C4BBD" w14:textId="77777777" w:rsidR="00094654" w:rsidRDefault="00094654">
      <w:pPr>
        <w:pStyle w:val="TDC3"/>
        <w:tabs>
          <w:tab w:val="right" w:pos="8262"/>
        </w:tabs>
        <w:rPr>
          <w:i w:val="0"/>
          <w:noProof/>
          <w:sz w:val="24"/>
          <w:szCs w:val="24"/>
          <w:lang w:val="es-ES" w:eastAsia="ja-JP"/>
        </w:rPr>
      </w:pPr>
      <w:r>
        <w:rPr>
          <w:noProof/>
        </w:rPr>
        <w:t>f2)</w:t>
      </w:r>
      <w:r>
        <w:rPr>
          <w:noProof/>
        </w:rPr>
        <w:tab/>
      </w:r>
      <w:r>
        <w:rPr>
          <w:noProof/>
        </w:rPr>
        <w:fldChar w:fldCharType="begin"/>
      </w:r>
      <w:r>
        <w:rPr>
          <w:noProof/>
        </w:rPr>
        <w:instrText xml:space="preserve"> PAGEREF _Toc311993020 \h </w:instrText>
      </w:r>
      <w:r>
        <w:rPr>
          <w:noProof/>
        </w:rPr>
      </w:r>
      <w:r>
        <w:rPr>
          <w:noProof/>
        </w:rPr>
        <w:fldChar w:fldCharType="separate"/>
      </w:r>
      <w:r w:rsidR="005A4AF6">
        <w:rPr>
          <w:noProof/>
        </w:rPr>
        <w:t>33</w:t>
      </w:r>
      <w:r>
        <w:rPr>
          <w:noProof/>
        </w:rPr>
        <w:fldChar w:fldCharType="end"/>
      </w:r>
    </w:p>
    <w:p w14:paraId="68A25C83" w14:textId="77777777" w:rsidR="00094654" w:rsidRDefault="00094654">
      <w:pPr>
        <w:pStyle w:val="TDC3"/>
        <w:tabs>
          <w:tab w:val="right" w:pos="8262"/>
        </w:tabs>
        <w:rPr>
          <w:i w:val="0"/>
          <w:noProof/>
          <w:sz w:val="24"/>
          <w:szCs w:val="24"/>
          <w:lang w:val="es-ES" w:eastAsia="ja-JP"/>
        </w:rPr>
      </w:pPr>
      <w:r>
        <w:rPr>
          <w:noProof/>
        </w:rPr>
        <w:t>f3)</w:t>
      </w:r>
      <w:r>
        <w:rPr>
          <w:noProof/>
        </w:rPr>
        <w:tab/>
      </w:r>
      <w:r>
        <w:rPr>
          <w:noProof/>
        </w:rPr>
        <w:fldChar w:fldCharType="begin"/>
      </w:r>
      <w:r>
        <w:rPr>
          <w:noProof/>
        </w:rPr>
        <w:instrText xml:space="preserve"> PAGEREF _Toc311993021 \h </w:instrText>
      </w:r>
      <w:r>
        <w:rPr>
          <w:noProof/>
        </w:rPr>
      </w:r>
      <w:r>
        <w:rPr>
          <w:noProof/>
        </w:rPr>
        <w:fldChar w:fldCharType="separate"/>
      </w:r>
      <w:r w:rsidR="005A4AF6">
        <w:rPr>
          <w:noProof/>
        </w:rPr>
        <w:t>34</w:t>
      </w:r>
      <w:r>
        <w:rPr>
          <w:noProof/>
        </w:rPr>
        <w:fldChar w:fldCharType="end"/>
      </w:r>
    </w:p>
    <w:p w14:paraId="37C3F90A" w14:textId="77777777" w:rsidR="00094654" w:rsidRDefault="00094654">
      <w:pPr>
        <w:pStyle w:val="TDC3"/>
        <w:tabs>
          <w:tab w:val="right" w:pos="8262"/>
        </w:tabs>
        <w:rPr>
          <w:i w:val="0"/>
          <w:noProof/>
          <w:sz w:val="24"/>
          <w:szCs w:val="24"/>
          <w:lang w:val="es-ES" w:eastAsia="ja-JP"/>
        </w:rPr>
      </w:pPr>
      <w:r>
        <w:rPr>
          <w:noProof/>
        </w:rPr>
        <w:t>f4)</w:t>
      </w:r>
      <w:r>
        <w:rPr>
          <w:noProof/>
        </w:rPr>
        <w:tab/>
      </w:r>
      <w:r>
        <w:rPr>
          <w:noProof/>
        </w:rPr>
        <w:fldChar w:fldCharType="begin"/>
      </w:r>
      <w:r>
        <w:rPr>
          <w:noProof/>
        </w:rPr>
        <w:instrText xml:space="preserve"> PAGEREF _Toc311993022 \h </w:instrText>
      </w:r>
      <w:r>
        <w:rPr>
          <w:noProof/>
        </w:rPr>
      </w:r>
      <w:r>
        <w:rPr>
          <w:noProof/>
        </w:rPr>
        <w:fldChar w:fldCharType="separate"/>
      </w:r>
      <w:r w:rsidR="005A4AF6">
        <w:rPr>
          <w:noProof/>
        </w:rPr>
        <w:t>34</w:t>
      </w:r>
      <w:r>
        <w:rPr>
          <w:noProof/>
        </w:rPr>
        <w:fldChar w:fldCharType="end"/>
      </w:r>
    </w:p>
    <w:p w14:paraId="7435BA3D" w14:textId="77777777" w:rsidR="00094654" w:rsidRDefault="00094654">
      <w:pPr>
        <w:pStyle w:val="TDC1"/>
        <w:tabs>
          <w:tab w:val="right" w:pos="8262"/>
        </w:tabs>
        <w:rPr>
          <w:rFonts w:asciiTheme="minorHAnsi" w:hAnsiTheme="minorHAnsi"/>
          <w:b w:val="0"/>
          <w:noProof/>
          <w:color w:val="auto"/>
          <w:lang w:val="es-ES" w:eastAsia="ja-JP"/>
        </w:rPr>
      </w:pPr>
      <w:r>
        <w:rPr>
          <w:noProof/>
        </w:rPr>
        <w:t>3 El bienestar emocional en la sociedad española.</w:t>
      </w:r>
      <w:r>
        <w:rPr>
          <w:noProof/>
        </w:rPr>
        <w:tab/>
      </w:r>
      <w:r>
        <w:rPr>
          <w:noProof/>
        </w:rPr>
        <w:fldChar w:fldCharType="begin"/>
      </w:r>
      <w:r>
        <w:rPr>
          <w:noProof/>
        </w:rPr>
        <w:instrText xml:space="preserve"> PAGEREF _Toc311993023 \h </w:instrText>
      </w:r>
      <w:r>
        <w:rPr>
          <w:noProof/>
        </w:rPr>
      </w:r>
      <w:r>
        <w:rPr>
          <w:noProof/>
        </w:rPr>
        <w:fldChar w:fldCharType="separate"/>
      </w:r>
      <w:r w:rsidR="005A4AF6">
        <w:rPr>
          <w:noProof/>
        </w:rPr>
        <w:t>36</w:t>
      </w:r>
      <w:r>
        <w:rPr>
          <w:noProof/>
        </w:rPr>
        <w:fldChar w:fldCharType="end"/>
      </w:r>
    </w:p>
    <w:p w14:paraId="4C36AC8C" w14:textId="77777777" w:rsidR="00094654" w:rsidRDefault="00094654">
      <w:pPr>
        <w:pStyle w:val="TDC2"/>
        <w:tabs>
          <w:tab w:val="right" w:pos="8262"/>
        </w:tabs>
        <w:rPr>
          <w:noProof/>
          <w:sz w:val="24"/>
          <w:szCs w:val="24"/>
          <w:lang w:val="es-ES" w:eastAsia="ja-JP"/>
        </w:rPr>
      </w:pPr>
      <w:r>
        <w:rPr>
          <w:noProof/>
        </w:rPr>
        <w:t>3.1  La estructura afectiva de los españoles</w:t>
      </w:r>
      <w:r>
        <w:rPr>
          <w:noProof/>
        </w:rPr>
        <w:tab/>
      </w:r>
      <w:r>
        <w:rPr>
          <w:noProof/>
        </w:rPr>
        <w:fldChar w:fldCharType="begin"/>
      </w:r>
      <w:r>
        <w:rPr>
          <w:noProof/>
        </w:rPr>
        <w:instrText xml:space="preserve"> PAGEREF _Toc311993024 \h </w:instrText>
      </w:r>
      <w:r>
        <w:rPr>
          <w:noProof/>
        </w:rPr>
      </w:r>
      <w:r>
        <w:rPr>
          <w:noProof/>
        </w:rPr>
        <w:fldChar w:fldCharType="separate"/>
      </w:r>
      <w:r w:rsidR="005A4AF6">
        <w:rPr>
          <w:noProof/>
        </w:rPr>
        <w:t>36</w:t>
      </w:r>
      <w:r>
        <w:rPr>
          <w:noProof/>
        </w:rPr>
        <w:fldChar w:fldCharType="end"/>
      </w:r>
    </w:p>
    <w:p w14:paraId="68865066" w14:textId="77777777" w:rsidR="00094654" w:rsidRDefault="00094654">
      <w:pPr>
        <w:pStyle w:val="TDC2"/>
        <w:tabs>
          <w:tab w:val="right" w:pos="8262"/>
        </w:tabs>
        <w:rPr>
          <w:noProof/>
          <w:sz w:val="24"/>
          <w:szCs w:val="24"/>
          <w:lang w:val="es-ES" w:eastAsia="ja-JP"/>
        </w:rPr>
      </w:pPr>
      <w:r>
        <w:rPr>
          <w:noProof/>
        </w:rPr>
        <w:t>3.2  Felicidad, disfrute de la vida, energía vital</w:t>
      </w:r>
      <w:r>
        <w:rPr>
          <w:noProof/>
        </w:rPr>
        <w:tab/>
      </w:r>
      <w:r>
        <w:rPr>
          <w:noProof/>
        </w:rPr>
        <w:fldChar w:fldCharType="begin"/>
      </w:r>
      <w:r>
        <w:rPr>
          <w:noProof/>
        </w:rPr>
        <w:instrText xml:space="preserve"> PAGEREF _Toc311993025 \h </w:instrText>
      </w:r>
      <w:r>
        <w:rPr>
          <w:noProof/>
        </w:rPr>
      </w:r>
      <w:r>
        <w:rPr>
          <w:noProof/>
        </w:rPr>
        <w:fldChar w:fldCharType="separate"/>
      </w:r>
      <w:r w:rsidR="005A4AF6">
        <w:rPr>
          <w:noProof/>
        </w:rPr>
        <w:t>41</w:t>
      </w:r>
      <w:r>
        <w:rPr>
          <w:noProof/>
        </w:rPr>
        <w:fldChar w:fldCharType="end"/>
      </w:r>
    </w:p>
    <w:p w14:paraId="03C73538" w14:textId="77777777" w:rsidR="00094654" w:rsidRDefault="00094654">
      <w:pPr>
        <w:pStyle w:val="TDC2"/>
        <w:tabs>
          <w:tab w:val="right" w:pos="8262"/>
        </w:tabs>
        <w:rPr>
          <w:noProof/>
          <w:sz w:val="24"/>
          <w:szCs w:val="24"/>
          <w:lang w:val="es-ES" w:eastAsia="ja-JP"/>
        </w:rPr>
      </w:pPr>
      <w:r>
        <w:rPr>
          <w:noProof/>
        </w:rPr>
        <w:t>3.3  Tristeza, depresión, aburrimiento, soledad.</w:t>
      </w:r>
      <w:r>
        <w:rPr>
          <w:noProof/>
        </w:rPr>
        <w:tab/>
      </w:r>
      <w:r>
        <w:rPr>
          <w:noProof/>
        </w:rPr>
        <w:fldChar w:fldCharType="begin"/>
      </w:r>
      <w:r>
        <w:rPr>
          <w:noProof/>
        </w:rPr>
        <w:instrText xml:space="preserve"> PAGEREF _Toc311993026 \h </w:instrText>
      </w:r>
      <w:r>
        <w:rPr>
          <w:noProof/>
        </w:rPr>
      </w:r>
      <w:r>
        <w:rPr>
          <w:noProof/>
        </w:rPr>
        <w:fldChar w:fldCharType="separate"/>
      </w:r>
      <w:r w:rsidR="005A4AF6">
        <w:rPr>
          <w:noProof/>
        </w:rPr>
        <w:t>43</w:t>
      </w:r>
      <w:r>
        <w:rPr>
          <w:noProof/>
        </w:rPr>
        <w:fldChar w:fldCharType="end"/>
      </w:r>
    </w:p>
    <w:p w14:paraId="0C5168DC" w14:textId="77777777" w:rsidR="00094654" w:rsidRDefault="00094654">
      <w:pPr>
        <w:pStyle w:val="TDC2"/>
        <w:tabs>
          <w:tab w:val="right" w:pos="8262"/>
        </w:tabs>
        <w:rPr>
          <w:noProof/>
          <w:sz w:val="24"/>
          <w:szCs w:val="24"/>
          <w:lang w:val="es-ES" w:eastAsia="ja-JP"/>
        </w:rPr>
      </w:pPr>
      <w:r>
        <w:rPr>
          <w:noProof/>
        </w:rPr>
        <w:t>3.4  Autoestima, optimismo, fracaso</w:t>
      </w:r>
      <w:r>
        <w:rPr>
          <w:noProof/>
        </w:rPr>
        <w:tab/>
      </w:r>
      <w:r>
        <w:rPr>
          <w:noProof/>
        </w:rPr>
        <w:fldChar w:fldCharType="begin"/>
      </w:r>
      <w:r>
        <w:rPr>
          <w:noProof/>
        </w:rPr>
        <w:instrText xml:space="preserve"> PAGEREF _Toc311993027 \h </w:instrText>
      </w:r>
      <w:r>
        <w:rPr>
          <w:noProof/>
        </w:rPr>
      </w:r>
      <w:r>
        <w:rPr>
          <w:noProof/>
        </w:rPr>
        <w:fldChar w:fldCharType="separate"/>
      </w:r>
      <w:r w:rsidR="005A4AF6">
        <w:rPr>
          <w:noProof/>
        </w:rPr>
        <w:t>45</w:t>
      </w:r>
      <w:r>
        <w:rPr>
          <w:noProof/>
        </w:rPr>
        <w:fldChar w:fldCharType="end"/>
      </w:r>
    </w:p>
    <w:p w14:paraId="2A306649" w14:textId="77777777" w:rsidR="00094654" w:rsidRDefault="00094654">
      <w:pPr>
        <w:pStyle w:val="TDC2"/>
        <w:tabs>
          <w:tab w:val="right" w:pos="8262"/>
        </w:tabs>
        <w:rPr>
          <w:noProof/>
          <w:sz w:val="24"/>
          <w:szCs w:val="24"/>
          <w:lang w:val="es-ES" w:eastAsia="ja-JP"/>
        </w:rPr>
      </w:pPr>
      <w:r>
        <w:rPr>
          <w:noProof/>
        </w:rPr>
        <w:t>3.5  Inquietud, calma, fatiga</w:t>
      </w:r>
      <w:r>
        <w:rPr>
          <w:noProof/>
        </w:rPr>
        <w:tab/>
      </w:r>
      <w:r>
        <w:rPr>
          <w:noProof/>
        </w:rPr>
        <w:fldChar w:fldCharType="begin"/>
      </w:r>
      <w:r>
        <w:rPr>
          <w:noProof/>
        </w:rPr>
        <w:instrText xml:space="preserve"> PAGEREF _Toc311993028 \h </w:instrText>
      </w:r>
      <w:r>
        <w:rPr>
          <w:noProof/>
        </w:rPr>
      </w:r>
      <w:r>
        <w:rPr>
          <w:noProof/>
        </w:rPr>
        <w:fldChar w:fldCharType="separate"/>
      </w:r>
      <w:r w:rsidR="005A4AF6">
        <w:rPr>
          <w:noProof/>
        </w:rPr>
        <w:t>48</w:t>
      </w:r>
      <w:r>
        <w:rPr>
          <w:noProof/>
        </w:rPr>
        <w:fldChar w:fldCharType="end"/>
      </w:r>
    </w:p>
    <w:p w14:paraId="1DD0D85C" w14:textId="77777777" w:rsidR="00094654" w:rsidRDefault="00094654">
      <w:pPr>
        <w:pStyle w:val="TDC1"/>
        <w:tabs>
          <w:tab w:val="right" w:pos="8262"/>
        </w:tabs>
        <w:rPr>
          <w:rFonts w:asciiTheme="minorHAnsi" w:hAnsiTheme="minorHAnsi"/>
          <w:b w:val="0"/>
          <w:noProof/>
          <w:color w:val="auto"/>
          <w:lang w:val="es-ES" w:eastAsia="ja-JP"/>
        </w:rPr>
      </w:pPr>
      <w:r>
        <w:rPr>
          <w:noProof/>
        </w:rPr>
        <w:t>4 Excluidos de la felicidad</w:t>
      </w:r>
      <w:r>
        <w:rPr>
          <w:noProof/>
        </w:rPr>
        <w:tab/>
      </w:r>
      <w:r>
        <w:rPr>
          <w:noProof/>
        </w:rPr>
        <w:fldChar w:fldCharType="begin"/>
      </w:r>
      <w:r>
        <w:rPr>
          <w:noProof/>
        </w:rPr>
        <w:instrText xml:space="preserve"> PAGEREF _Toc311993029 \h </w:instrText>
      </w:r>
      <w:r>
        <w:rPr>
          <w:noProof/>
        </w:rPr>
      </w:r>
      <w:r>
        <w:rPr>
          <w:noProof/>
        </w:rPr>
        <w:fldChar w:fldCharType="separate"/>
      </w:r>
      <w:r w:rsidR="005A4AF6">
        <w:rPr>
          <w:noProof/>
        </w:rPr>
        <w:t>52</w:t>
      </w:r>
      <w:r>
        <w:rPr>
          <w:noProof/>
        </w:rPr>
        <w:fldChar w:fldCharType="end"/>
      </w:r>
    </w:p>
    <w:p w14:paraId="70091317" w14:textId="77777777" w:rsidR="00094654" w:rsidRDefault="00094654">
      <w:pPr>
        <w:pStyle w:val="TDC2"/>
        <w:tabs>
          <w:tab w:val="right" w:pos="8262"/>
        </w:tabs>
        <w:rPr>
          <w:noProof/>
          <w:sz w:val="24"/>
          <w:szCs w:val="24"/>
          <w:lang w:val="es-ES" w:eastAsia="ja-JP"/>
        </w:rPr>
      </w:pPr>
      <w:r>
        <w:rPr>
          <w:noProof/>
        </w:rPr>
        <w:t>4.1 La mayor felicidad para el mayor número</w:t>
      </w:r>
      <w:r>
        <w:rPr>
          <w:noProof/>
        </w:rPr>
        <w:tab/>
      </w:r>
      <w:r>
        <w:rPr>
          <w:noProof/>
        </w:rPr>
        <w:fldChar w:fldCharType="begin"/>
      </w:r>
      <w:r>
        <w:rPr>
          <w:noProof/>
        </w:rPr>
        <w:instrText xml:space="preserve"> PAGEREF _Toc311993030 \h </w:instrText>
      </w:r>
      <w:r>
        <w:rPr>
          <w:noProof/>
        </w:rPr>
      </w:r>
      <w:r>
        <w:rPr>
          <w:noProof/>
        </w:rPr>
        <w:fldChar w:fldCharType="separate"/>
      </w:r>
      <w:r w:rsidR="005A4AF6">
        <w:rPr>
          <w:noProof/>
        </w:rPr>
        <w:t>52</w:t>
      </w:r>
      <w:r>
        <w:rPr>
          <w:noProof/>
        </w:rPr>
        <w:fldChar w:fldCharType="end"/>
      </w:r>
    </w:p>
    <w:p w14:paraId="272E591C" w14:textId="77777777" w:rsidR="00094654" w:rsidRDefault="00094654">
      <w:pPr>
        <w:pStyle w:val="TDC2"/>
        <w:tabs>
          <w:tab w:val="right" w:pos="8262"/>
        </w:tabs>
        <w:rPr>
          <w:noProof/>
          <w:sz w:val="24"/>
          <w:szCs w:val="24"/>
          <w:lang w:val="es-ES" w:eastAsia="ja-JP"/>
        </w:rPr>
      </w:pPr>
      <w:r>
        <w:rPr>
          <w:noProof/>
        </w:rPr>
        <w:t>4.2  La desigualdad social en riqueza e ingresos</w:t>
      </w:r>
      <w:r>
        <w:rPr>
          <w:noProof/>
        </w:rPr>
        <w:tab/>
      </w:r>
      <w:r>
        <w:rPr>
          <w:noProof/>
        </w:rPr>
        <w:fldChar w:fldCharType="begin"/>
      </w:r>
      <w:r>
        <w:rPr>
          <w:noProof/>
        </w:rPr>
        <w:instrText xml:space="preserve"> PAGEREF _Toc311993031 \h </w:instrText>
      </w:r>
      <w:r>
        <w:rPr>
          <w:noProof/>
        </w:rPr>
      </w:r>
      <w:r>
        <w:rPr>
          <w:noProof/>
        </w:rPr>
        <w:fldChar w:fldCharType="separate"/>
      </w:r>
      <w:r w:rsidR="005A4AF6">
        <w:rPr>
          <w:noProof/>
        </w:rPr>
        <w:t>53</w:t>
      </w:r>
      <w:r>
        <w:rPr>
          <w:noProof/>
        </w:rPr>
        <w:fldChar w:fldCharType="end"/>
      </w:r>
    </w:p>
    <w:p w14:paraId="381D5579" w14:textId="77777777" w:rsidR="00094654" w:rsidRDefault="00094654">
      <w:pPr>
        <w:pStyle w:val="TDC2"/>
        <w:tabs>
          <w:tab w:val="right" w:pos="8262"/>
        </w:tabs>
        <w:rPr>
          <w:noProof/>
          <w:sz w:val="24"/>
          <w:szCs w:val="24"/>
          <w:lang w:val="es-ES" w:eastAsia="ja-JP"/>
        </w:rPr>
      </w:pPr>
      <w:r>
        <w:rPr>
          <w:noProof/>
        </w:rPr>
        <w:t>4.3  La desigualdad social en bienestar emocional</w:t>
      </w:r>
      <w:r>
        <w:rPr>
          <w:noProof/>
        </w:rPr>
        <w:tab/>
      </w:r>
      <w:r>
        <w:rPr>
          <w:noProof/>
        </w:rPr>
        <w:fldChar w:fldCharType="begin"/>
      </w:r>
      <w:r>
        <w:rPr>
          <w:noProof/>
        </w:rPr>
        <w:instrText xml:space="preserve"> PAGEREF _Toc311993032 \h </w:instrText>
      </w:r>
      <w:r>
        <w:rPr>
          <w:noProof/>
        </w:rPr>
      </w:r>
      <w:r>
        <w:rPr>
          <w:noProof/>
        </w:rPr>
        <w:fldChar w:fldCharType="separate"/>
      </w:r>
      <w:r w:rsidR="005A4AF6">
        <w:rPr>
          <w:noProof/>
        </w:rPr>
        <w:t>54</w:t>
      </w:r>
      <w:r>
        <w:rPr>
          <w:noProof/>
        </w:rPr>
        <w:fldChar w:fldCharType="end"/>
      </w:r>
    </w:p>
    <w:p w14:paraId="5864D5AD" w14:textId="77777777" w:rsidR="00094654" w:rsidRDefault="00094654">
      <w:pPr>
        <w:pStyle w:val="TDC2"/>
        <w:tabs>
          <w:tab w:val="right" w:pos="8262"/>
        </w:tabs>
        <w:rPr>
          <w:noProof/>
          <w:sz w:val="24"/>
          <w:szCs w:val="24"/>
          <w:lang w:val="es-ES" w:eastAsia="ja-JP"/>
        </w:rPr>
      </w:pPr>
      <w:r>
        <w:rPr>
          <w:noProof/>
        </w:rPr>
        <w:t>4.4  Tipología del bienestar  y del malestar emocional</w:t>
      </w:r>
      <w:r>
        <w:rPr>
          <w:noProof/>
        </w:rPr>
        <w:tab/>
      </w:r>
      <w:r>
        <w:rPr>
          <w:noProof/>
        </w:rPr>
        <w:fldChar w:fldCharType="begin"/>
      </w:r>
      <w:r>
        <w:rPr>
          <w:noProof/>
        </w:rPr>
        <w:instrText xml:space="preserve"> PAGEREF _Toc311993033 \h </w:instrText>
      </w:r>
      <w:r>
        <w:rPr>
          <w:noProof/>
        </w:rPr>
      </w:r>
      <w:r>
        <w:rPr>
          <w:noProof/>
        </w:rPr>
        <w:fldChar w:fldCharType="separate"/>
      </w:r>
      <w:r w:rsidR="005A4AF6">
        <w:rPr>
          <w:noProof/>
        </w:rPr>
        <w:t>61</w:t>
      </w:r>
      <w:r>
        <w:rPr>
          <w:noProof/>
        </w:rPr>
        <w:fldChar w:fldCharType="end"/>
      </w:r>
    </w:p>
    <w:p w14:paraId="0D396905" w14:textId="77777777" w:rsidR="0044431A" w:rsidRDefault="0044431A">
      <w:pPr>
        <w:pStyle w:val="TDC1"/>
        <w:tabs>
          <w:tab w:val="right" w:pos="8262"/>
        </w:tabs>
        <w:rPr>
          <w:noProof/>
        </w:rPr>
      </w:pPr>
    </w:p>
    <w:p w14:paraId="6E7E90B9" w14:textId="77777777" w:rsidR="0044431A" w:rsidRDefault="0044431A">
      <w:pPr>
        <w:pStyle w:val="TDC1"/>
        <w:tabs>
          <w:tab w:val="right" w:pos="8262"/>
        </w:tabs>
        <w:rPr>
          <w:noProof/>
        </w:rPr>
      </w:pPr>
    </w:p>
    <w:p w14:paraId="2F663C12" w14:textId="77777777" w:rsidR="00094654" w:rsidRDefault="00094654">
      <w:pPr>
        <w:pStyle w:val="TDC1"/>
        <w:tabs>
          <w:tab w:val="right" w:pos="8262"/>
        </w:tabs>
        <w:rPr>
          <w:rFonts w:asciiTheme="minorHAnsi" w:hAnsiTheme="minorHAnsi"/>
          <w:b w:val="0"/>
          <w:noProof/>
          <w:color w:val="auto"/>
          <w:lang w:val="es-ES" w:eastAsia="ja-JP"/>
        </w:rPr>
      </w:pPr>
      <w:r>
        <w:rPr>
          <w:noProof/>
        </w:rPr>
        <w:t>5  Catástrofes personales</w:t>
      </w:r>
      <w:r>
        <w:rPr>
          <w:noProof/>
        </w:rPr>
        <w:tab/>
      </w:r>
      <w:r>
        <w:rPr>
          <w:noProof/>
        </w:rPr>
        <w:fldChar w:fldCharType="begin"/>
      </w:r>
      <w:r>
        <w:rPr>
          <w:noProof/>
        </w:rPr>
        <w:instrText xml:space="preserve"> PAGEREF _Toc311993034 \h </w:instrText>
      </w:r>
      <w:r>
        <w:rPr>
          <w:noProof/>
        </w:rPr>
      </w:r>
      <w:r>
        <w:rPr>
          <w:noProof/>
        </w:rPr>
        <w:fldChar w:fldCharType="separate"/>
      </w:r>
      <w:r w:rsidR="005A4AF6">
        <w:rPr>
          <w:noProof/>
        </w:rPr>
        <w:t>66</w:t>
      </w:r>
      <w:r>
        <w:rPr>
          <w:noProof/>
        </w:rPr>
        <w:fldChar w:fldCharType="end"/>
      </w:r>
    </w:p>
    <w:p w14:paraId="001B3970" w14:textId="77777777" w:rsidR="00094654" w:rsidRDefault="00094654">
      <w:pPr>
        <w:pStyle w:val="TDC2"/>
        <w:tabs>
          <w:tab w:val="right" w:pos="8262"/>
        </w:tabs>
        <w:rPr>
          <w:noProof/>
          <w:sz w:val="24"/>
          <w:szCs w:val="24"/>
          <w:lang w:val="es-ES" w:eastAsia="ja-JP"/>
        </w:rPr>
      </w:pPr>
      <w:r>
        <w:rPr>
          <w:noProof/>
        </w:rPr>
        <w:t>5.1  La estructura afectiva de la vida cotidiana</w:t>
      </w:r>
      <w:r>
        <w:rPr>
          <w:noProof/>
        </w:rPr>
        <w:tab/>
      </w:r>
      <w:r>
        <w:rPr>
          <w:noProof/>
        </w:rPr>
        <w:fldChar w:fldCharType="begin"/>
      </w:r>
      <w:r>
        <w:rPr>
          <w:noProof/>
        </w:rPr>
        <w:instrText xml:space="preserve"> PAGEREF _Toc311993035 \h </w:instrText>
      </w:r>
      <w:r>
        <w:rPr>
          <w:noProof/>
        </w:rPr>
      </w:r>
      <w:r>
        <w:rPr>
          <w:noProof/>
        </w:rPr>
        <w:fldChar w:fldCharType="separate"/>
      </w:r>
      <w:r w:rsidR="005A4AF6">
        <w:rPr>
          <w:noProof/>
        </w:rPr>
        <w:t>66</w:t>
      </w:r>
      <w:r>
        <w:rPr>
          <w:noProof/>
        </w:rPr>
        <w:fldChar w:fldCharType="end"/>
      </w:r>
    </w:p>
    <w:p w14:paraId="2F772853" w14:textId="77777777" w:rsidR="00094654" w:rsidRDefault="00094654">
      <w:pPr>
        <w:pStyle w:val="TDC2"/>
        <w:tabs>
          <w:tab w:val="right" w:pos="8262"/>
        </w:tabs>
        <w:rPr>
          <w:noProof/>
          <w:sz w:val="24"/>
          <w:szCs w:val="24"/>
          <w:lang w:val="es-ES" w:eastAsia="ja-JP"/>
        </w:rPr>
      </w:pPr>
      <w:r>
        <w:rPr>
          <w:noProof/>
        </w:rPr>
        <w:t>5.2  Teorías de la adaptación hedonista</w:t>
      </w:r>
      <w:r>
        <w:rPr>
          <w:noProof/>
        </w:rPr>
        <w:tab/>
      </w:r>
      <w:r>
        <w:rPr>
          <w:noProof/>
        </w:rPr>
        <w:fldChar w:fldCharType="begin"/>
      </w:r>
      <w:r>
        <w:rPr>
          <w:noProof/>
        </w:rPr>
        <w:instrText xml:space="preserve"> PAGEREF _Toc311993036 \h </w:instrText>
      </w:r>
      <w:r>
        <w:rPr>
          <w:noProof/>
        </w:rPr>
      </w:r>
      <w:r>
        <w:rPr>
          <w:noProof/>
        </w:rPr>
        <w:fldChar w:fldCharType="separate"/>
      </w:r>
      <w:r w:rsidR="005A4AF6">
        <w:rPr>
          <w:noProof/>
        </w:rPr>
        <w:t>68</w:t>
      </w:r>
      <w:r>
        <w:rPr>
          <w:noProof/>
        </w:rPr>
        <w:fldChar w:fldCharType="end"/>
      </w:r>
    </w:p>
    <w:p w14:paraId="0952B932" w14:textId="77777777" w:rsidR="00094654" w:rsidRDefault="00094654">
      <w:pPr>
        <w:pStyle w:val="TDC2"/>
        <w:tabs>
          <w:tab w:val="right" w:pos="8262"/>
        </w:tabs>
        <w:rPr>
          <w:noProof/>
          <w:sz w:val="24"/>
          <w:szCs w:val="24"/>
          <w:lang w:val="es-ES" w:eastAsia="ja-JP"/>
        </w:rPr>
      </w:pPr>
      <w:r>
        <w:rPr>
          <w:noProof/>
        </w:rPr>
        <w:t>5.3  Personas que padecen enfermedad crónica o discapacidad</w:t>
      </w:r>
      <w:r>
        <w:rPr>
          <w:noProof/>
        </w:rPr>
        <w:tab/>
      </w:r>
      <w:r>
        <w:rPr>
          <w:noProof/>
        </w:rPr>
        <w:fldChar w:fldCharType="begin"/>
      </w:r>
      <w:r>
        <w:rPr>
          <w:noProof/>
        </w:rPr>
        <w:instrText xml:space="preserve"> PAGEREF _Toc311993037 \h </w:instrText>
      </w:r>
      <w:r>
        <w:rPr>
          <w:noProof/>
        </w:rPr>
      </w:r>
      <w:r>
        <w:rPr>
          <w:noProof/>
        </w:rPr>
        <w:fldChar w:fldCharType="separate"/>
      </w:r>
      <w:r w:rsidR="005A4AF6">
        <w:rPr>
          <w:noProof/>
        </w:rPr>
        <w:t>72</w:t>
      </w:r>
      <w:r>
        <w:rPr>
          <w:noProof/>
        </w:rPr>
        <w:fldChar w:fldCharType="end"/>
      </w:r>
    </w:p>
    <w:p w14:paraId="45976823" w14:textId="77777777" w:rsidR="00094654" w:rsidRDefault="00094654">
      <w:pPr>
        <w:pStyle w:val="TDC2"/>
        <w:tabs>
          <w:tab w:val="right" w:pos="8262"/>
        </w:tabs>
        <w:rPr>
          <w:noProof/>
          <w:sz w:val="24"/>
          <w:szCs w:val="24"/>
          <w:lang w:val="es-ES" w:eastAsia="ja-JP"/>
        </w:rPr>
      </w:pPr>
      <w:r>
        <w:rPr>
          <w:noProof/>
        </w:rPr>
        <w:t>5.4  Personas desempleadas o que temen perder su empleo</w:t>
      </w:r>
      <w:r>
        <w:rPr>
          <w:noProof/>
        </w:rPr>
        <w:tab/>
      </w:r>
      <w:r>
        <w:rPr>
          <w:noProof/>
        </w:rPr>
        <w:fldChar w:fldCharType="begin"/>
      </w:r>
      <w:r>
        <w:rPr>
          <w:noProof/>
        </w:rPr>
        <w:instrText xml:space="preserve"> PAGEREF _Toc311993038 \h </w:instrText>
      </w:r>
      <w:r>
        <w:rPr>
          <w:noProof/>
        </w:rPr>
      </w:r>
      <w:r>
        <w:rPr>
          <w:noProof/>
        </w:rPr>
        <w:fldChar w:fldCharType="separate"/>
      </w:r>
      <w:r w:rsidR="005A4AF6">
        <w:rPr>
          <w:noProof/>
        </w:rPr>
        <w:t>75</w:t>
      </w:r>
      <w:r>
        <w:rPr>
          <w:noProof/>
        </w:rPr>
        <w:fldChar w:fldCharType="end"/>
      </w:r>
    </w:p>
    <w:p w14:paraId="5C82F0A9" w14:textId="77777777" w:rsidR="00094654" w:rsidRDefault="00094654">
      <w:pPr>
        <w:pStyle w:val="TDC2"/>
        <w:tabs>
          <w:tab w:val="right" w:pos="8262"/>
        </w:tabs>
        <w:rPr>
          <w:noProof/>
          <w:sz w:val="24"/>
          <w:szCs w:val="24"/>
          <w:lang w:val="es-ES" w:eastAsia="ja-JP"/>
        </w:rPr>
      </w:pPr>
      <w:r>
        <w:rPr>
          <w:noProof/>
        </w:rPr>
        <w:t>5.5 Personas divorciadas y personas viudas</w:t>
      </w:r>
      <w:r>
        <w:rPr>
          <w:noProof/>
        </w:rPr>
        <w:tab/>
      </w:r>
      <w:r>
        <w:rPr>
          <w:noProof/>
        </w:rPr>
        <w:fldChar w:fldCharType="begin"/>
      </w:r>
      <w:r>
        <w:rPr>
          <w:noProof/>
        </w:rPr>
        <w:instrText xml:space="preserve"> PAGEREF _Toc311993039 \h </w:instrText>
      </w:r>
      <w:r>
        <w:rPr>
          <w:noProof/>
        </w:rPr>
      </w:r>
      <w:r>
        <w:rPr>
          <w:noProof/>
        </w:rPr>
        <w:fldChar w:fldCharType="separate"/>
      </w:r>
      <w:r w:rsidR="005A4AF6">
        <w:rPr>
          <w:noProof/>
        </w:rPr>
        <w:t>78</w:t>
      </w:r>
      <w:r>
        <w:rPr>
          <w:noProof/>
        </w:rPr>
        <w:fldChar w:fldCharType="end"/>
      </w:r>
    </w:p>
    <w:p w14:paraId="26577D74" w14:textId="77777777" w:rsidR="00094654" w:rsidRDefault="00094654">
      <w:pPr>
        <w:pStyle w:val="TDC1"/>
        <w:tabs>
          <w:tab w:val="right" w:pos="8262"/>
        </w:tabs>
        <w:rPr>
          <w:rFonts w:asciiTheme="minorHAnsi" w:hAnsiTheme="minorHAnsi"/>
          <w:b w:val="0"/>
          <w:noProof/>
          <w:color w:val="auto"/>
          <w:lang w:val="es-ES" w:eastAsia="ja-JP"/>
        </w:rPr>
      </w:pPr>
      <w:r>
        <w:rPr>
          <w:noProof/>
        </w:rPr>
        <w:t>6  Exclusiones sociales I. El respeto</w:t>
      </w:r>
      <w:r>
        <w:rPr>
          <w:noProof/>
        </w:rPr>
        <w:tab/>
      </w:r>
      <w:r>
        <w:rPr>
          <w:noProof/>
        </w:rPr>
        <w:fldChar w:fldCharType="begin"/>
      </w:r>
      <w:r>
        <w:rPr>
          <w:noProof/>
        </w:rPr>
        <w:instrText xml:space="preserve"> PAGEREF _Toc311993040 \h </w:instrText>
      </w:r>
      <w:r>
        <w:rPr>
          <w:noProof/>
        </w:rPr>
      </w:r>
      <w:r>
        <w:rPr>
          <w:noProof/>
        </w:rPr>
        <w:fldChar w:fldCharType="separate"/>
      </w:r>
      <w:r w:rsidR="005A4AF6">
        <w:rPr>
          <w:noProof/>
        </w:rPr>
        <w:t>83</w:t>
      </w:r>
      <w:r>
        <w:rPr>
          <w:noProof/>
        </w:rPr>
        <w:fldChar w:fldCharType="end"/>
      </w:r>
    </w:p>
    <w:p w14:paraId="0574A0DD" w14:textId="77777777" w:rsidR="00094654" w:rsidRDefault="00094654">
      <w:pPr>
        <w:pStyle w:val="TDC2"/>
        <w:tabs>
          <w:tab w:val="right" w:pos="8262"/>
        </w:tabs>
        <w:rPr>
          <w:noProof/>
          <w:sz w:val="24"/>
          <w:szCs w:val="24"/>
          <w:lang w:val="es-ES" w:eastAsia="ja-JP"/>
        </w:rPr>
      </w:pPr>
      <w:r>
        <w:rPr>
          <w:noProof/>
        </w:rPr>
        <w:t>6.1  Esbozo de una teoría sociológica de la infelicidad</w:t>
      </w:r>
      <w:r>
        <w:rPr>
          <w:noProof/>
        </w:rPr>
        <w:tab/>
      </w:r>
      <w:r>
        <w:rPr>
          <w:noProof/>
        </w:rPr>
        <w:fldChar w:fldCharType="begin"/>
      </w:r>
      <w:r>
        <w:rPr>
          <w:noProof/>
        </w:rPr>
        <w:instrText xml:space="preserve"> PAGEREF _Toc311993041 \h </w:instrText>
      </w:r>
      <w:r>
        <w:rPr>
          <w:noProof/>
        </w:rPr>
      </w:r>
      <w:r>
        <w:rPr>
          <w:noProof/>
        </w:rPr>
        <w:fldChar w:fldCharType="separate"/>
      </w:r>
      <w:r w:rsidR="005A4AF6">
        <w:rPr>
          <w:noProof/>
        </w:rPr>
        <w:t>83</w:t>
      </w:r>
      <w:r>
        <w:rPr>
          <w:noProof/>
        </w:rPr>
        <w:fldChar w:fldCharType="end"/>
      </w:r>
    </w:p>
    <w:p w14:paraId="664BE9F7" w14:textId="77777777" w:rsidR="00094654" w:rsidRDefault="00094654">
      <w:pPr>
        <w:pStyle w:val="TDC2"/>
        <w:tabs>
          <w:tab w:val="right" w:pos="8262"/>
        </w:tabs>
        <w:rPr>
          <w:noProof/>
          <w:sz w:val="24"/>
          <w:szCs w:val="24"/>
          <w:lang w:val="es-ES" w:eastAsia="ja-JP"/>
        </w:rPr>
      </w:pPr>
      <w:r>
        <w:rPr>
          <w:noProof/>
        </w:rPr>
        <w:t>6.2  Las personas sin hogar</w:t>
      </w:r>
      <w:r>
        <w:rPr>
          <w:noProof/>
        </w:rPr>
        <w:tab/>
      </w:r>
      <w:r>
        <w:rPr>
          <w:noProof/>
        </w:rPr>
        <w:fldChar w:fldCharType="begin"/>
      </w:r>
      <w:r>
        <w:rPr>
          <w:noProof/>
        </w:rPr>
        <w:instrText xml:space="preserve"> PAGEREF _Toc311993042 \h </w:instrText>
      </w:r>
      <w:r>
        <w:rPr>
          <w:noProof/>
        </w:rPr>
      </w:r>
      <w:r>
        <w:rPr>
          <w:noProof/>
        </w:rPr>
        <w:fldChar w:fldCharType="separate"/>
      </w:r>
      <w:r w:rsidR="005A4AF6">
        <w:rPr>
          <w:noProof/>
        </w:rPr>
        <w:t>85</w:t>
      </w:r>
      <w:r>
        <w:rPr>
          <w:noProof/>
        </w:rPr>
        <w:fldChar w:fldCharType="end"/>
      </w:r>
    </w:p>
    <w:p w14:paraId="095BA4F7" w14:textId="77777777" w:rsidR="00094654" w:rsidRDefault="00094654">
      <w:pPr>
        <w:pStyle w:val="TDC2"/>
        <w:tabs>
          <w:tab w:val="right" w:pos="8262"/>
        </w:tabs>
        <w:rPr>
          <w:noProof/>
          <w:sz w:val="24"/>
          <w:szCs w:val="24"/>
          <w:lang w:val="es-ES" w:eastAsia="ja-JP"/>
        </w:rPr>
      </w:pPr>
      <w:r>
        <w:rPr>
          <w:noProof/>
        </w:rPr>
        <w:t>6.3  Discriminación social, falta de respeto y trato injusto</w:t>
      </w:r>
      <w:r>
        <w:rPr>
          <w:noProof/>
        </w:rPr>
        <w:tab/>
      </w:r>
      <w:r>
        <w:rPr>
          <w:noProof/>
        </w:rPr>
        <w:fldChar w:fldCharType="begin"/>
      </w:r>
      <w:r>
        <w:rPr>
          <w:noProof/>
        </w:rPr>
        <w:instrText xml:space="preserve"> PAGEREF _Toc311993043 \h </w:instrText>
      </w:r>
      <w:r>
        <w:rPr>
          <w:noProof/>
        </w:rPr>
      </w:r>
      <w:r>
        <w:rPr>
          <w:noProof/>
        </w:rPr>
        <w:fldChar w:fldCharType="separate"/>
      </w:r>
      <w:r w:rsidR="005A4AF6">
        <w:rPr>
          <w:noProof/>
        </w:rPr>
        <w:t>88</w:t>
      </w:r>
      <w:r>
        <w:rPr>
          <w:noProof/>
        </w:rPr>
        <w:fldChar w:fldCharType="end"/>
      </w:r>
    </w:p>
    <w:p w14:paraId="1BD4515A" w14:textId="77777777" w:rsidR="00094654" w:rsidRDefault="00094654">
      <w:pPr>
        <w:pStyle w:val="TDC3"/>
        <w:tabs>
          <w:tab w:val="right" w:pos="8262"/>
        </w:tabs>
        <w:rPr>
          <w:i w:val="0"/>
          <w:noProof/>
          <w:sz w:val="24"/>
          <w:szCs w:val="24"/>
          <w:lang w:val="es-ES" w:eastAsia="ja-JP"/>
        </w:rPr>
      </w:pPr>
      <w:r>
        <w:rPr>
          <w:noProof/>
        </w:rPr>
        <w:t>El respeto</w:t>
      </w:r>
      <w:r>
        <w:rPr>
          <w:noProof/>
        </w:rPr>
        <w:tab/>
      </w:r>
      <w:r>
        <w:rPr>
          <w:noProof/>
        </w:rPr>
        <w:fldChar w:fldCharType="begin"/>
      </w:r>
      <w:r>
        <w:rPr>
          <w:noProof/>
        </w:rPr>
        <w:instrText xml:space="preserve"> PAGEREF _Toc311993044 \h </w:instrText>
      </w:r>
      <w:r>
        <w:rPr>
          <w:noProof/>
        </w:rPr>
      </w:r>
      <w:r>
        <w:rPr>
          <w:noProof/>
        </w:rPr>
        <w:fldChar w:fldCharType="separate"/>
      </w:r>
      <w:r w:rsidR="005A4AF6">
        <w:rPr>
          <w:noProof/>
        </w:rPr>
        <w:t>89</w:t>
      </w:r>
      <w:r>
        <w:rPr>
          <w:noProof/>
        </w:rPr>
        <w:fldChar w:fldCharType="end"/>
      </w:r>
    </w:p>
    <w:p w14:paraId="3B41B752" w14:textId="77777777" w:rsidR="00094654" w:rsidRDefault="00094654">
      <w:pPr>
        <w:pStyle w:val="TDC3"/>
        <w:tabs>
          <w:tab w:val="right" w:pos="8262"/>
        </w:tabs>
        <w:rPr>
          <w:i w:val="0"/>
          <w:noProof/>
          <w:sz w:val="24"/>
          <w:szCs w:val="24"/>
          <w:lang w:val="es-ES" w:eastAsia="ja-JP"/>
        </w:rPr>
      </w:pPr>
      <w:r>
        <w:rPr>
          <w:noProof/>
        </w:rPr>
        <w:t>El trato justo</w:t>
      </w:r>
      <w:r>
        <w:rPr>
          <w:noProof/>
        </w:rPr>
        <w:tab/>
      </w:r>
      <w:r>
        <w:rPr>
          <w:noProof/>
        </w:rPr>
        <w:fldChar w:fldCharType="begin"/>
      </w:r>
      <w:r>
        <w:rPr>
          <w:noProof/>
        </w:rPr>
        <w:instrText xml:space="preserve"> PAGEREF _Toc311993045 \h </w:instrText>
      </w:r>
      <w:r>
        <w:rPr>
          <w:noProof/>
        </w:rPr>
      </w:r>
      <w:r>
        <w:rPr>
          <w:noProof/>
        </w:rPr>
        <w:fldChar w:fldCharType="separate"/>
      </w:r>
      <w:r w:rsidR="005A4AF6">
        <w:rPr>
          <w:noProof/>
        </w:rPr>
        <w:t>91</w:t>
      </w:r>
      <w:r>
        <w:rPr>
          <w:noProof/>
        </w:rPr>
        <w:fldChar w:fldCharType="end"/>
      </w:r>
    </w:p>
    <w:p w14:paraId="6322A585" w14:textId="77777777" w:rsidR="00094654" w:rsidRDefault="00094654">
      <w:pPr>
        <w:pStyle w:val="TDC2"/>
        <w:tabs>
          <w:tab w:val="right" w:pos="8262"/>
        </w:tabs>
        <w:rPr>
          <w:noProof/>
          <w:sz w:val="24"/>
          <w:szCs w:val="24"/>
          <w:lang w:val="es-ES" w:eastAsia="ja-JP"/>
        </w:rPr>
      </w:pPr>
      <w:r>
        <w:rPr>
          <w:noProof/>
        </w:rPr>
        <w:t>6.4  Inmigrantes y nativos</w:t>
      </w:r>
      <w:r>
        <w:rPr>
          <w:noProof/>
        </w:rPr>
        <w:tab/>
      </w:r>
      <w:r>
        <w:rPr>
          <w:noProof/>
        </w:rPr>
        <w:fldChar w:fldCharType="begin"/>
      </w:r>
      <w:r>
        <w:rPr>
          <w:noProof/>
        </w:rPr>
        <w:instrText xml:space="preserve"> PAGEREF _Toc311993046 \h </w:instrText>
      </w:r>
      <w:r>
        <w:rPr>
          <w:noProof/>
        </w:rPr>
      </w:r>
      <w:r>
        <w:rPr>
          <w:noProof/>
        </w:rPr>
        <w:fldChar w:fldCharType="separate"/>
      </w:r>
      <w:r w:rsidR="005A4AF6">
        <w:rPr>
          <w:noProof/>
        </w:rPr>
        <w:t>92</w:t>
      </w:r>
      <w:r>
        <w:rPr>
          <w:noProof/>
        </w:rPr>
        <w:fldChar w:fldCharType="end"/>
      </w:r>
    </w:p>
    <w:p w14:paraId="4334CC43" w14:textId="77777777" w:rsidR="00094654" w:rsidRDefault="00094654">
      <w:pPr>
        <w:pStyle w:val="TDC1"/>
        <w:tabs>
          <w:tab w:val="right" w:pos="8262"/>
        </w:tabs>
        <w:rPr>
          <w:rFonts w:asciiTheme="minorHAnsi" w:hAnsiTheme="minorHAnsi"/>
          <w:b w:val="0"/>
          <w:noProof/>
          <w:color w:val="auto"/>
          <w:lang w:val="es-ES" w:eastAsia="ja-JP"/>
        </w:rPr>
      </w:pPr>
      <w:r>
        <w:rPr>
          <w:noProof/>
        </w:rPr>
        <w:t>7  Exclusiones sociales II. La pobreza</w:t>
      </w:r>
      <w:r>
        <w:rPr>
          <w:noProof/>
        </w:rPr>
        <w:tab/>
      </w:r>
      <w:r>
        <w:rPr>
          <w:noProof/>
        </w:rPr>
        <w:fldChar w:fldCharType="begin"/>
      </w:r>
      <w:r>
        <w:rPr>
          <w:noProof/>
        </w:rPr>
        <w:instrText xml:space="preserve"> PAGEREF _Toc311993047 \h </w:instrText>
      </w:r>
      <w:r>
        <w:rPr>
          <w:noProof/>
        </w:rPr>
      </w:r>
      <w:r>
        <w:rPr>
          <w:noProof/>
        </w:rPr>
        <w:fldChar w:fldCharType="separate"/>
      </w:r>
      <w:r w:rsidR="005A4AF6">
        <w:rPr>
          <w:noProof/>
        </w:rPr>
        <w:t>99</w:t>
      </w:r>
      <w:r>
        <w:rPr>
          <w:noProof/>
        </w:rPr>
        <w:fldChar w:fldCharType="end"/>
      </w:r>
    </w:p>
    <w:p w14:paraId="5B8D0439" w14:textId="77777777" w:rsidR="00094654" w:rsidRDefault="00094654">
      <w:pPr>
        <w:pStyle w:val="TDC2"/>
        <w:tabs>
          <w:tab w:val="right" w:pos="8262"/>
        </w:tabs>
        <w:rPr>
          <w:noProof/>
          <w:sz w:val="24"/>
          <w:szCs w:val="24"/>
          <w:lang w:val="es-ES" w:eastAsia="ja-JP"/>
        </w:rPr>
      </w:pPr>
      <w:r>
        <w:rPr>
          <w:noProof/>
        </w:rPr>
        <w:t>7.1  El dinero y la felicidad</w:t>
      </w:r>
      <w:r>
        <w:rPr>
          <w:noProof/>
        </w:rPr>
        <w:tab/>
      </w:r>
      <w:r>
        <w:rPr>
          <w:noProof/>
        </w:rPr>
        <w:fldChar w:fldCharType="begin"/>
      </w:r>
      <w:r>
        <w:rPr>
          <w:noProof/>
        </w:rPr>
        <w:instrText xml:space="preserve"> PAGEREF _Toc311993048 \h </w:instrText>
      </w:r>
      <w:r>
        <w:rPr>
          <w:noProof/>
        </w:rPr>
      </w:r>
      <w:r>
        <w:rPr>
          <w:noProof/>
        </w:rPr>
        <w:fldChar w:fldCharType="separate"/>
      </w:r>
      <w:r w:rsidR="005A4AF6">
        <w:rPr>
          <w:noProof/>
        </w:rPr>
        <w:t>99</w:t>
      </w:r>
      <w:r>
        <w:rPr>
          <w:noProof/>
        </w:rPr>
        <w:fldChar w:fldCharType="end"/>
      </w:r>
    </w:p>
    <w:p w14:paraId="4BE7EF66" w14:textId="77777777" w:rsidR="00094654" w:rsidRDefault="00094654">
      <w:pPr>
        <w:pStyle w:val="TDC2"/>
        <w:tabs>
          <w:tab w:val="right" w:pos="8262"/>
        </w:tabs>
        <w:rPr>
          <w:noProof/>
          <w:sz w:val="24"/>
          <w:szCs w:val="24"/>
          <w:lang w:val="es-ES" w:eastAsia="ja-JP"/>
        </w:rPr>
      </w:pPr>
      <w:r>
        <w:rPr>
          <w:noProof/>
        </w:rPr>
        <w:t>7.2  Los ingresos del hogar</w:t>
      </w:r>
      <w:r>
        <w:rPr>
          <w:noProof/>
        </w:rPr>
        <w:tab/>
      </w:r>
      <w:r>
        <w:rPr>
          <w:noProof/>
        </w:rPr>
        <w:fldChar w:fldCharType="begin"/>
      </w:r>
      <w:r>
        <w:rPr>
          <w:noProof/>
        </w:rPr>
        <w:instrText xml:space="preserve"> PAGEREF _Toc311993049 \h </w:instrText>
      </w:r>
      <w:r>
        <w:rPr>
          <w:noProof/>
        </w:rPr>
      </w:r>
      <w:r>
        <w:rPr>
          <w:noProof/>
        </w:rPr>
        <w:fldChar w:fldCharType="separate"/>
      </w:r>
      <w:r w:rsidR="005A4AF6">
        <w:rPr>
          <w:noProof/>
        </w:rPr>
        <w:t>103</w:t>
      </w:r>
      <w:r>
        <w:rPr>
          <w:noProof/>
        </w:rPr>
        <w:fldChar w:fldCharType="end"/>
      </w:r>
    </w:p>
    <w:p w14:paraId="1BD7FD17" w14:textId="77777777" w:rsidR="00094654" w:rsidRDefault="00094654">
      <w:pPr>
        <w:pStyle w:val="TDC2"/>
        <w:tabs>
          <w:tab w:val="right" w:pos="8262"/>
        </w:tabs>
        <w:rPr>
          <w:noProof/>
          <w:sz w:val="24"/>
          <w:szCs w:val="24"/>
          <w:lang w:val="es-ES" w:eastAsia="ja-JP"/>
        </w:rPr>
      </w:pPr>
      <w:r>
        <w:rPr>
          <w:noProof/>
        </w:rPr>
        <w:t>7.3  La posición social</w:t>
      </w:r>
      <w:r>
        <w:rPr>
          <w:noProof/>
        </w:rPr>
        <w:tab/>
      </w:r>
      <w:r>
        <w:rPr>
          <w:noProof/>
        </w:rPr>
        <w:fldChar w:fldCharType="begin"/>
      </w:r>
      <w:r>
        <w:rPr>
          <w:noProof/>
        </w:rPr>
        <w:instrText xml:space="preserve"> PAGEREF _Toc311993050 \h </w:instrText>
      </w:r>
      <w:r>
        <w:rPr>
          <w:noProof/>
        </w:rPr>
      </w:r>
      <w:r>
        <w:rPr>
          <w:noProof/>
        </w:rPr>
        <w:fldChar w:fldCharType="separate"/>
      </w:r>
      <w:r w:rsidR="005A4AF6">
        <w:rPr>
          <w:noProof/>
        </w:rPr>
        <w:t>106</w:t>
      </w:r>
      <w:r>
        <w:rPr>
          <w:noProof/>
        </w:rPr>
        <w:fldChar w:fldCharType="end"/>
      </w:r>
    </w:p>
    <w:p w14:paraId="48151773" w14:textId="77777777" w:rsidR="00094654" w:rsidRDefault="00094654">
      <w:pPr>
        <w:pStyle w:val="TDC2"/>
        <w:tabs>
          <w:tab w:val="right" w:pos="8262"/>
        </w:tabs>
        <w:rPr>
          <w:noProof/>
          <w:sz w:val="24"/>
          <w:szCs w:val="24"/>
          <w:lang w:val="es-ES" w:eastAsia="ja-JP"/>
        </w:rPr>
      </w:pPr>
      <w:r>
        <w:rPr>
          <w:noProof/>
        </w:rPr>
        <w:t>7.4  El impacto emocional de la crisis económica</w:t>
      </w:r>
      <w:r>
        <w:rPr>
          <w:noProof/>
        </w:rPr>
        <w:tab/>
      </w:r>
      <w:r>
        <w:rPr>
          <w:noProof/>
        </w:rPr>
        <w:fldChar w:fldCharType="begin"/>
      </w:r>
      <w:r>
        <w:rPr>
          <w:noProof/>
        </w:rPr>
        <w:instrText xml:space="preserve"> PAGEREF _Toc311993051 \h </w:instrText>
      </w:r>
      <w:r>
        <w:rPr>
          <w:noProof/>
        </w:rPr>
      </w:r>
      <w:r>
        <w:rPr>
          <w:noProof/>
        </w:rPr>
        <w:fldChar w:fldCharType="separate"/>
      </w:r>
      <w:r w:rsidR="005A4AF6">
        <w:rPr>
          <w:noProof/>
        </w:rPr>
        <w:t>110</w:t>
      </w:r>
      <w:r>
        <w:rPr>
          <w:noProof/>
        </w:rPr>
        <w:fldChar w:fldCharType="end"/>
      </w:r>
    </w:p>
    <w:p w14:paraId="6C31642D" w14:textId="77777777" w:rsidR="00094654" w:rsidRDefault="00094654">
      <w:pPr>
        <w:pStyle w:val="TDC1"/>
        <w:tabs>
          <w:tab w:val="right" w:pos="8262"/>
        </w:tabs>
        <w:rPr>
          <w:rFonts w:asciiTheme="minorHAnsi" w:hAnsiTheme="minorHAnsi"/>
          <w:b w:val="0"/>
          <w:noProof/>
          <w:color w:val="auto"/>
          <w:lang w:val="es-ES" w:eastAsia="ja-JP"/>
        </w:rPr>
      </w:pPr>
      <w:r>
        <w:rPr>
          <w:noProof/>
        </w:rPr>
        <w:t>8  La desigualdad emocional de género y de edad</w:t>
      </w:r>
      <w:r>
        <w:rPr>
          <w:noProof/>
        </w:rPr>
        <w:tab/>
      </w:r>
      <w:r>
        <w:rPr>
          <w:noProof/>
        </w:rPr>
        <w:fldChar w:fldCharType="begin"/>
      </w:r>
      <w:r>
        <w:rPr>
          <w:noProof/>
        </w:rPr>
        <w:instrText xml:space="preserve"> PAGEREF _Toc311993052 \h </w:instrText>
      </w:r>
      <w:r>
        <w:rPr>
          <w:noProof/>
        </w:rPr>
      </w:r>
      <w:r>
        <w:rPr>
          <w:noProof/>
        </w:rPr>
        <w:fldChar w:fldCharType="separate"/>
      </w:r>
      <w:r w:rsidR="005A4AF6">
        <w:rPr>
          <w:noProof/>
        </w:rPr>
        <w:t>118</w:t>
      </w:r>
      <w:r>
        <w:rPr>
          <w:noProof/>
        </w:rPr>
        <w:fldChar w:fldCharType="end"/>
      </w:r>
    </w:p>
    <w:p w14:paraId="3DDD048A" w14:textId="77777777" w:rsidR="00094654" w:rsidRDefault="00094654">
      <w:pPr>
        <w:pStyle w:val="TDC2"/>
        <w:tabs>
          <w:tab w:val="right" w:pos="8262"/>
        </w:tabs>
        <w:rPr>
          <w:noProof/>
          <w:sz w:val="24"/>
          <w:szCs w:val="24"/>
          <w:lang w:val="es-ES" w:eastAsia="ja-JP"/>
        </w:rPr>
      </w:pPr>
      <w:r>
        <w:rPr>
          <w:noProof/>
        </w:rPr>
        <w:t>8.1  El género y la edad</w:t>
      </w:r>
      <w:r>
        <w:rPr>
          <w:noProof/>
        </w:rPr>
        <w:tab/>
      </w:r>
      <w:r>
        <w:rPr>
          <w:noProof/>
        </w:rPr>
        <w:fldChar w:fldCharType="begin"/>
      </w:r>
      <w:r>
        <w:rPr>
          <w:noProof/>
        </w:rPr>
        <w:instrText xml:space="preserve"> PAGEREF _Toc311993053 \h </w:instrText>
      </w:r>
      <w:r>
        <w:rPr>
          <w:noProof/>
        </w:rPr>
      </w:r>
      <w:r>
        <w:rPr>
          <w:noProof/>
        </w:rPr>
        <w:fldChar w:fldCharType="separate"/>
      </w:r>
      <w:r w:rsidR="005A4AF6">
        <w:rPr>
          <w:noProof/>
        </w:rPr>
        <w:t>118</w:t>
      </w:r>
      <w:r>
        <w:rPr>
          <w:noProof/>
        </w:rPr>
        <w:fldChar w:fldCharType="end"/>
      </w:r>
    </w:p>
    <w:p w14:paraId="6303F514" w14:textId="77777777" w:rsidR="00094654" w:rsidRDefault="00094654">
      <w:pPr>
        <w:pStyle w:val="TDC2"/>
        <w:tabs>
          <w:tab w:val="right" w:pos="8262"/>
        </w:tabs>
        <w:rPr>
          <w:noProof/>
          <w:sz w:val="24"/>
          <w:szCs w:val="24"/>
          <w:lang w:val="es-ES" w:eastAsia="ja-JP"/>
        </w:rPr>
      </w:pPr>
      <w:r>
        <w:rPr>
          <w:noProof/>
        </w:rPr>
        <w:t>8.2  Mujeres y hombres</w:t>
      </w:r>
      <w:r>
        <w:rPr>
          <w:noProof/>
        </w:rPr>
        <w:tab/>
      </w:r>
      <w:r>
        <w:rPr>
          <w:noProof/>
        </w:rPr>
        <w:fldChar w:fldCharType="begin"/>
      </w:r>
      <w:r>
        <w:rPr>
          <w:noProof/>
        </w:rPr>
        <w:instrText xml:space="preserve"> PAGEREF _Toc311993054 \h </w:instrText>
      </w:r>
      <w:r>
        <w:rPr>
          <w:noProof/>
        </w:rPr>
      </w:r>
      <w:r>
        <w:rPr>
          <w:noProof/>
        </w:rPr>
        <w:fldChar w:fldCharType="separate"/>
      </w:r>
      <w:r w:rsidR="005A4AF6">
        <w:rPr>
          <w:noProof/>
        </w:rPr>
        <w:t>122</w:t>
      </w:r>
      <w:r>
        <w:rPr>
          <w:noProof/>
        </w:rPr>
        <w:fldChar w:fldCharType="end"/>
      </w:r>
    </w:p>
    <w:p w14:paraId="29DDDD07" w14:textId="77777777" w:rsidR="00094654" w:rsidRDefault="00094654">
      <w:pPr>
        <w:pStyle w:val="TDC3"/>
        <w:tabs>
          <w:tab w:val="right" w:pos="8262"/>
        </w:tabs>
        <w:rPr>
          <w:i w:val="0"/>
          <w:noProof/>
          <w:sz w:val="24"/>
          <w:szCs w:val="24"/>
          <w:lang w:val="es-ES" w:eastAsia="ja-JP"/>
        </w:rPr>
      </w:pPr>
      <w:r>
        <w:rPr>
          <w:noProof/>
        </w:rPr>
        <w:t>El trabajo</w:t>
      </w:r>
      <w:r>
        <w:rPr>
          <w:noProof/>
        </w:rPr>
        <w:tab/>
      </w:r>
      <w:r>
        <w:rPr>
          <w:noProof/>
        </w:rPr>
        <w:fldChar w:fldCharType="begin"/>
      </w:r>
      <w:r>
        <w:rPr>
          <w:noProof/>
        </w:rPr>
        <w:instrText xml:space="preserve"> PAGEREF _Toc311993055 \h </w:instrText>
      </w:r>
      <w:r>
        <w:rPr>
          <w:noProof/>
        </w:rPr>
      </w:r>
      <w:r>
        <w:rPr>
          <w:noProof/>
        </w:rPr>
        <w:fldChar w:fldCharType="separate"/>
      </w:r>
      <w:r w:rsidR="005A4AF6">
        <w:rPr>
          <w:noProof/>
        </w:rPr>
        <w:t>122</w:t>
      </w:r>
      <w:r>
        <w:rPr>
          <w:noProof/>
        </w:rPr>
        <w:fldChar w:fldCharType="end"/>
      </w:r>
    </w:p>
    <w:p w14:paraId="3F752A70" w14:textId="77777777" w:rsidR="00094654" w:rsidRDefault="00094654">
      <w:pPr>
        <w:pStyle w:val="TDC3"/>
        <w:tabs>
          <w:tab w:val="right" w:pos="8262"/>
        </w:tabs>
        <w:rPr>
          <w:i w:val="0"/>
          <w:noProof/>
          <w:sz w:val="24"/>
          <w:szCs w:val="24"/>
          <w:lang w:val="es-ES" w:eastAsia="ja-JP"/>
        </w:rPr>
      </w:pPr>
      <w:r>
        <w:rPr>
          <w:noProof/>
        </w:rPr>
        <w:t>La convivencia en pareja</w:t>
      </w:r>
      <w:r>
        <w:rPr>
          <w:noProof/>
        </w:rPr>
        <w:tab/>
      </w:r>
      <w:r>
        <w:rPr>
          <w:noProof/>
        </w:rPr>
        <w:fldChar w:fldCharType="begin"/>
      </w:r>
      <w:r>
        <w:rPr>
          <w:noProof/>
        </w:rPr>
        <w:instrText xml:space="preserve"> PAGEREF _Toc311993056 \h </w:instrText>
      </w:r>
      <w:r>
        <w:rPr>
          <w:noProof/>
        </w:rPr>
      </w:r>
      <w:r>
        <w:rPr>
          <w:noProof/>
        </w:rPr>
        <w:fldChar w:fldCharType="separate"/>
      </w:r>
      <w:r w:rsidR="005A4AF6">
        <w:rPr>
          <w:noProof/>
        </w:rPr>
        <w:t>123</w:t>
      </w:r>
      <w:r>
        <w:rPr>
          <w:noProof/>
        </w:rPr>
        <w:fldChar w:fldCharType="end"/>
      </w:r>
    </w:p>
    <w:p w14:paraId="0CE9DCD0" w14:textId="77777777" w:rsidR="00094654" w:rsidRDefault="00094654">
      <w:pPr>
        <w:pStyle w:val="TDC3"/>
        <w:tabs>
          <w:tab w:val="right" w:pos="8262"/>
        </w:tabs>
        <w:rPr>
          <w:i w:val="0"/>
          <w:noProof/>
          <w:sz w:val="24"/>
          <w:szCs w:val="24"/>
          <w:lang w:val="es-ES" w:eastAsia="ja-JP"/>
        </w:rPr>
      </w:pPr>
      <w:r>
        <w:rPr>
          <w:noProof/>
        </w:rPr>
        <w:t>El logro educativo</w:t>
      </w:r>
      <w:r>
        <w:rPr>
          <w:noProof/>
        </w:rPr>
        <w:tab/>
      </w:r>
      <w:r>
        <w:rPr>
          <w:noProof/>
        </w:rPr>
        <w:fldChar w:fldCharType="begin"/>
      </w:r>
      <w:r>
        <w:rPr>
          <w:noProof/>
        </w:rPr>
        <w:instrText xml:space="preserve"> PAGEREF _Toc311993057 \h </w:instrText>
      </w:r>
      <w:r>
        <w:rPr>
          <w:noProof/>
        </w:rPr>
      </w:r>
      <w:r>
        <w:rPr>
          <w:noProof/>
        </w:rPr>
        <w:fldChar w:fldCharType="separate"/>
      </w:r>
      <w:r w:rsidR="005A4AF6">
        <w:rPr>
          <w:noProof/>
        </w:rPr>
        <w:t>126</w:t>
      </w:r>
      <w:r>
        <w:rPr>
          <w:noProof/>
        </w:rPr>
        <w:fldChar w:fldCharType="end"/>
      </w:r>
    </w:p>
    <w:p w14:paraId="02C8CE0A" w14:textId="77777777" w:rsidR="00094654" w:rsidRDefault="00094654">
      <w:pPr>
        <w:pStyle w:val="TDC2"/>
        <w:tabs>
          <w:tab w:val="right" w:pos="8262"/>
        </w:tabs>
        <w:rPr>
          <w:noProof/>
          <w:sz w:val="24"/>
          <w:szCs w:val="24"/>
          <w:lang w:val="es-ES" w:eastAsia="ja-JP"/>
        </w:rPr>
      </w:pPr>
      <w:r>
        <w:rPr>
          <w:noProof/>
        </w:rPr>
        <w:t>8.3  Personas mayores: salud y soledad</w:t>
      </w:r>
      <w:r>
        <w:rPr>
          <w:noProof/>
        </w:rPr>
        <w:tab/>
      </w:r>
      <w:r>
        <w:rPr>
          <w:noProof/>
        </w:rPr>
        <w:fldChar w:fldCharType="begin"/>
      </w:r>
      <w:r>
        <w:rPr>
          <w:noProof/>
        </w:rPr>
        <w:instrText xml:space="preserve"> PAGEREF _Toc311993058 \h </w:instrText>
      </w:r>
      <w:r>
        <w:rPr>
          <w:noProof/>
        </w:rPr>
      </w:r>
      <w:r>
        <w:rPr>
          <w:noProof/>
        </w:rPr>
        <w:fldChar w:fldCharType="separate"/>
      </w:r>
      <w:r w:rsidR="005A4AF6">
        <w:rPr>
          <w:noProof/>
        </w:rPr>
        <w:t>128</w:t>
      </w:r>
      <w:r>
        <w:rPr>
          <w:noProof/>
        </w:rPr>
        <w:fldChar w:fldCharType="end"/>
      </w:r>
    </w:p>
    <w:p w14:paraId="6C950B21" w14:textId="77777777" w:rsidR="00094654" w:rsidRDefault="00094654">
      <w:pPr>
        <w:pStyle w:val="TDC2"/>
        <w:tabs>
          <w:tab w:val="right" w:pos="8262"/>
        </w:tabs>
        <w:rPr>
          <w:noProof/>
          <w:sz w:val="24"/>
          <w:szCs w:val="24"/>
          <w:lang w:val="es-ES" w:eastAsia="ja-JP"/>
        </w:rPr>
      </w:pPr>
      <w:r>
        <w:rPr>
          <w:noProof/>
        </w:rPr>
        <w:t>8.4  Jóvenes: estudiantes, trabajadores y ninis</w:t>
      </w:r>
      <w:r>
        <w:rPr>
          <w:noProof/>
        </w:rPr>
        <w:tab/>
      </w:r>
      <w:r>
        <w:rPr>
          <w:noProof/>
        </w:rPr>
        <w:fldChar w:fldCharType="begin"/>
      </w:r>
      <w:r>
        <w:rPr>
          <w:noProof/>
        </w:rPr>
        <w:instrText xml:space="preserve"> PAGEREF _Toc311993059 \h </w:instrText>
      </w:r>
      <w:r>
        <w:rPr>
          <w:noProof/>
        </w:rPr>
      </w:r>
      <w:r>
        <w:rPr>
          <w:noProof/>
        </w:rPr>
        <w:fldChar w:fldCharType="separate"/>
      </w:r>
      <w:r w:rsidR="005A4AF6">
        <w:rPr>
          <w:noProof/>
        </w:rPr>
        <w:t>130</w:t>
      </w:r>
      <w:r>
        <w:rPr>
          <w:noProof/>
        </w:rPr>
        <w:fldChar w:fldCharType="end"/>
      </w:r>
    </w:p>
    <w:p w14:paraId="2CD8E55B" w14:textId="77777777" w:rsidR="00094654" w:rsidRDefault="00094654">
      <w:pPr>
        <w:pStyle w:val="TDC3"/>
        <w:tabs>
          <w:tab w:val="right" w:pos="8262"/>
        </w:tabs>
        <w:rPr>
          <w:i w:val="0"/>
          <w:noProof/>
          <w:sz w:val="24"/>
          <w:szCs w:val="24"/>
          <w:lang w:val="es-ES" w:eastAsia="ja-JP"/>
        </w:rPr>
      </w:pPr>
      <w:r>
        <w:rPr>
          <w:noProof/>
        </w:rPr>
        <w:t>Estudiantes, trabajadores y ninis</w:t>
      </w:r>
      <w:r>
        <w:rPr>
          <w:noProof/>
        </w:rPr>
        <w:tab/>
      </w:r>
      <w:r>
        <w:rPr>
          <w:noProof/>
        </w:rPr>
        <w:fldChar w:fldCharType="begin"/>
      </w:r>
      <w:r>
        <w:rPr>
          <w:noProof/>
        </w:rPr>
        <w:instrText xml:space="preserve"> PAGEREF _Toc311993060 \h </w:instrText>
      </w:r>
      <w:r>
        <w:rPr>
          <w:noProof/>
        </w:rPr>
      </w:r>
      <w:r>
        <w:rPr>
          <w:noProof/>
        </w:rPr>
        <w:fldChar w:fldCharType="separate"/>
      </w:r>
      <w:r w:rsidR="005A4AF6">
        <w:rPr>
          <w:noProof/>
        </w:rPr>
        <w:t>132</w:t>
      </w:r>
      <w:r>
        <w:rPr>
          <w:noProof/>
        </w:rPr>
        <w:fldChar w:fldCharType="end"/>
      </w:r>
    </w:p>
    <w:p w14:paraId="17E3A1E9" w14:textId="77777777" w:rsidR="00094654" w:rsidRDefault="00094654">
      <w:pPr>
        <w:pStyle w:val="TDC3"/>
        <w:tabs>
          <w:tab w:val="right" w:pos="8262"/>
        </w:tabs>
        <w:rPr>
          <w:i w:val="0"/>
          <w:noProof/>
          <w:sz w:val="24"/>
          <w:szCs w:val="24"/>
          <w:lang w:val="es-ES" w:eastAsia="ja-JP"/>
        </w:rPr>
      </w:pPr>
      <w:r>
        <w:rPr>
          <w:noProof/>
        </w:rPr>
        <w:t>La felicidad de los jóvenes y el sentido vital</w:t>
      </w:r>
      <w:r>
        <w:rPr>
          <w:noProof/>
        </w:rPr>
        <w:tab/>
      </w:r>
      <w:r>
        <w:rPr>
          <w:noProof/>
        </w:rPr>
        <w:fldChar w:fldCharType="begin"/>
      </w:r>
      <w:r>
        <w:rPr>
          <w:noProof/>
        </w:rPr>
        <w:instrText xml:space="preserve"> PAGEREF _Toc311993061 \h </w:instrText>
      </w:r>
      <w:r>
        <w:rPr>
          <w:noProof/>
        </w:rPr>
      </w:r>
      <w:r>
        <w:rPr>
          <w:noProof/>
        </w:rPr>
        <w:fldChar w:fldCharType="separate"/>
      </w:r>
      <w:r w:rsidR="005A4AF6">
        <w:rPr>
          <w:noProof/>
        </w:rPr>
        <w:t>134</w:t>
      </w:r>
      <w:r>
        <w:rPr>
          <w:noProof/>
        </w:rPr>
        <w:fldChar w:fldCharType="end"/>
      </w:r>
    </w:p>
    <w:p w14:paraId="12C736EC" w14:textId="77777777" w:rsidR="00094654" w:rsidRDefault="00094654">
      <w:pPr>
        <w:pStyle w:val="TDC1"/>
        <w:tabs>
          <w:tab w:val="right" w:pos="8262"/>
        </w:tabs>
        <w:rPr>
          <w:rFonts w:asciiTheme="minorHAnsi" w:hAnsiTheme="minorHAnsi"/>
          <w:b w:val="0"/>
          <w:noProof/>
          <w:color w:val="auto"/>
          <w:lang w:val="es-ES" w:eastAsia="ja-JP"/>
        </w:rPr>
      </w:pPr>
      <w:r>
        <w:rPr>
          <w:noProof/>
        </w:rPr>
        <w:t>Conclusiones</w:t>
      </w:r>
      <w:r>
        <w:rPr>
          <w:noProof/>
        </w:rPr>
        <w:tab/>
      </w:r>
      <w:r>
        <w:rPr>
          <w:noProof/>
        </w:rPr>
        <w:fldChar w:fldCharType="begin"/>
      </w:r>
      <w:r>
        <w:rPr>
          <w:noProof/>
        </w:rPr>
        <w:instrText xml:space="preserve"> PAGEREF _Toc311993062 \h </w:instrText>
      </w:r>
      <w:r>
        <w:rPr>
          <w:noProof/>
        </w:rPr>
      </w:r>
      <w:r>
        <w:rPr>
          <w:noProof/>
        </w:rPr>
        <w:fldChar w:fldCharType="separate"/>
      </w:r>
      <w:r w:rsidR="005A4AF6">
        <w:rPr>
          <w:noProof/>
        </w:rPr>
        <w:t>138</w:t>
      </w:r>
      <w:r>
        <w:rPr>
          <w:noProof/>
        </w:rPr>
        <w:fldChar w:fldCharType="end"/>
      </w:r>
    </w:p>
    <w:p w14:paraId="7F92B5F3" w14:textId="77777777" w:rsidR="00094654" w:rsidRDefault="00094654">
      <w:pPr>
        <w:pStyle w:val="TDC1"/>
        <w:tabs>
          <w:tab w:val="right" w:pos="8262"/>
        </w:tabs>
        <w:rPr>
          <w:rFonts w:asciiTheme="minorHAnsi" w:hAnsiTheme="minorHAnsi"/>
          <w:b w:val="0"/>
          <w:noProof/>
          <w:color w:val="auto"/>
          <w:lang w:val="es-ES" w:eastAsia="ja-JP"/>
        </w:rPr>
      </w:pPr>
      <w:r>
        <w:rPr>
          <w:noProof/>
        </w:rPr>
        <w:t>Referencias</w:t>
      </w:r>
      <w:r>
        <w:rPr>
          <w:noProof/>
        </w:rPr>
        <w:tab/>
      </w:r>
      <w:r>
        <w:rPr>
          <w:noProof/>
        </w:rPr>
        <w:fldChar w:fldCharType="begin"/>
      </w:r>
      <w:r>
        <w:rPr>
          <w:noProof/>
        </w:rPr>
        <w:instrText xml:space="preserve"> PAGEREF _Toc311993063 \h </w:instrText>
      </w:r>
      <w:r>
        <w:rPr>
          <w:noProof/>
        </w:rPr>
      </w:r>
      <w:r>
        <w:rPr>
          <w:noProof/>
        </w:rPr>
        <w:fldChar w:fldCharType="separate"/>
      </w:r>
      <w:r w:rsidR="005A4AF6">
        <w:rPr>
          <w:noProof/>
        </w:rPr>
        <w:t>141</w:t>
      </w:r>
      <w:r>
        <w:rPr>
          <w:noProof/>
        </w:rPr>
        <w:fldChar w:fldCharType="end"/>
      </w:r>
    </w:p>
    <w:p w14:paraId="3A5B30A6" w14:textId="77777777" w:rsidR="00094654" w:rsidRDefault="00094654">
      <w:pPr>
        <w:pStyle w:val="TDC2"/>
        <w:tabs>
          <w:tab w:val="right" w:pos="8262"/>
        </w:tabs>
        <w:rPr>
          <w:noProof/>
          <w:sz w:val="24"/>
          <w:szCs w:val="24"/>
          <w:lang w:val="es-ES" w:eastAsia="ja-JP"/>
        </w:rPr>
      </w:pPr>
      <w:r>
        <w:rPr>
          <w:noProof/>
        </w:rPr>
        <w:t>Índice detallado</w:t>
      </w:r>
      <w:r>
        <w:rPr>
          <w:noProof/>
        </w:rPr>
        <w:tab/>
      </w:r>
      <w:r>
        <w:rPr>
          <w:noProof/>
        </w:rPr>
        <w:fldChar w:fldCharType="begin"/>
      </w:r>
      <w:r>
        <w:rPr>
          <w:noProof/>
        </w:rPr>
        <w:instrText xml:space="preserve"> PAGEREF _Toc311993064 \h </w:instrText>
      </w:r>
      <w:r>
        <w:rPr>
          <w:noProof/>
        </w:rPr>
      </w:r>
      <w:r>
        <w:rPr>
          <w:noProof/>
        </w:rPr>
        <w:fldChar w:fldCharType="separate"/>
      </w:r>
      <w:r w:rsidR="005A4AF6">
        <w:rPr>
          <w:noProof/>
        </w:rPr>
        <w:t>153</w:t>
      </w:r>
      <w:r>
        <w:rPr>
          <w:noProof/>
        </w:rPr>
        <w:fldChar w:fldCharType="end"/>
      </w:r>
    </w:p>
    <w:p w14:paraId="41911DAC" w14:textId="71D4AB59" w:rsidR="007E422D" w:rsidRPr="005D1582" w:rsidRDefault="00094654" w:rsidP="005D529F">
      <w:pPr>
        <w:rPr>
          <w:rFonts w:cs="Times New Roman"/>
          <w:color w:val="365F91" w:themeColor="accent1" w:themeShade="BF"/>
        </w:rPr>
      </w:pPr>
      <w:r>
        <w:rPr>
          <w:rFonts w:asciiTheme="minorHAnsi" w:hAnsiTheme="minorHAnsi" w:cs="Times New Roman"/>
          <w:b/>
          <w:color w:val="365F91" w:themeColor="accent1" w:themeShade="BF"/>
          <w:sz w:val="22"/>
          <w:szCs w:val="22"/>
        </w:rPr>
        <w:fldChar w:fldCharType="end"/>
      </w:r>
    </w:p>
    <w:p w14:paraId="3F5421BA" w14:textId="77777777" w:rsidR="00094654" w:rsidRDefault="00094654" w:rsidP="007E422D">
      <w:pPr>
        <w:rPr>
          <w:rFonts w:cs="Times New Roman"/>
        </w:rPr>
        <w:sectPr w:rsidR="00094654" w:rsidSect="00650742">
          <w:pgSz w:w="11900" w:h="16840"/>
          <w:pgMar w:top="2041" w:right="1814" w:bottom="1758" w:left="1814" w:header="709" w:footer="709" w:gutter="0"/>
          <w:pgNumType w:start="153"/>
          <w:cols w:space="708"/>
          <w:titlePg/>
          <w:docGrid w:linePitch="360"/>
        </w:sectPr>
      </w:pPr>
    </w:p>
    <w:p w14:paraId="6A8738E7" w14:textId="633C12A4" w:rsidR="00094654" w:rsidRPr="005D529F" w:rsidRDefault="00094654" w:rsidP="0044431A">
      <w:pPr>
        <w:rPr>
          <w:rFonts w:cs="Times New Roman"/>
        </w:rPr>
      </w:pPr>
    </w:p>
    <w:sectPr w:rsidR="00094654" w:rsidRPr="005D529F" w:rsidSect="005D79E7">
      <w:pgSz w:w="11900" w:h="16840"/>
      <w:pgMar w:top="2041" w:right="1814" w:bottom="1758" w:left="181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59EABD" w14:textId="77777777" w:rsidR="007C7AEB" w:rsidRDefault="007C7AEB" w:rsidP="006B04B6">
      <w:r>
        <w:separator/>
      </w:r>
    </w:p>
  </w:endnote>
  <w:endnote w:type="continuationSeparator" w:id="0">
    <w:p w14:paraId="4B603693" w14:textId="77777777" w:rsidR="007C7AEB" w:rsidRDefault="007C7AEB" w:rsidP="006B0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rator Std">
    <w:altName w:val="Consolas"/>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04124E" w14:textId="77777777" w:rsidR="004738A7" w:rsidRDefault="004738A7" w:rsidP="00F458C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E7B4D">
      <w:rPr>
        <w:rStyle w:val="Nmerodepgina"/>
        <w:noProof/>
      </w:rPr>
      <w:t>154</w:t>
    </w:r>
    <w:r>
      <w:rPr>
        <w:rStyle w:val="Nmerodepgina"/>
      </w:rPr>
      <w:fldChar w:fldCharType="end"/>
    </w:r>
  </w:p>
  <w:p w14:paraId="0E573E77" w14:textId="77777777" w:rsidR="004738A7" w:rsidRDefault="004738A7" w:rsidP="006B04B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C3E4D" w14:textId="77777777" w:rsidR="004738A7" w:rsidRPr="00F458C5" w:rsidRDefault="004738A7" w:rsidP="00A655B0">
    <w:pPr>
      <w:pStyle w:val="Piedepgina"/>
      <w:framePr w:wrap="around" w:vAnchor="text" w:hAnchor="margin" w:xAlign="right" w:y="1"/>
      <w:rPr>
        <w:rStyle w:val="Nmerodepgina"/>
        <w:color w:val="365F91" w:themeColor="accent1" w:themeShade="BF"/>
      </w:rPr>
    </w:pPr>
    <w:r w:rsidRPr="00F458C5">
      <w:rPr>
        <w:rStyle w:val="Nmerodepgina"/>
        <w:color w:val="365F91" w:themeColor="accent1" w:themeShade="BF"/>
      </w:rPr>
      <w:fldChar w:fldCharType="begin"/>
    </w:r>
    <w:r w:rsidRPr="00F458C5">
      <w:rPr>
        <w:rStyle w:val="Nmerodepgina"/>
        <w:color w:val="365F91" w:themeColor="accent1" w:themeShade="BF"/>
      </w:rPr>
      <w:instrText xml:space="preserve">PAGE  </w:instrText>
    </w:r>
    <w:r w:rsidRPr="00F458C5">
      <w:rPr>
        <w:rStyle w:val="Nmerodepgina"/>
        <w:color w:val="365F91" w:themeColor="accent1" w:themeShade="BF"/>
      </w:rPr>
      <w:fldChar w:fldCharType="separate"/>
    </w:r>
    <w:r w:rsidR="00DE7B4D">
      <w:rPr>
        <w:rStyle w:val="Nmerodepgina"/>
        <w:noProof/>
        <w:color w:val="365F91" w:themeColor="accent1" w:themeShade="BF"/>
      </w:rPr>
      <w:t>151</w:t>
    </w:r>
    <w:r w:rsidRPr="00F458C5">
      <w:rPr>
        <w:rStyle w:val="Nmerodepgina"/>
        <w:color w:val="365F91" w:themeColor="accent1" w:themeShade="BF"/>
      </w:rPr>
      <w:fldChar w:fldCharType="end"/>
    </w:r>
  </w:p>
  <w:p w14:paraId="6B1E94BD" w14:textId="77777777" w:rsidR="004738A7" w:rsidRDefault="004738A7" w:rsidP="006B04B6">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7180C7" w14:textId="77777777" w:rsidR="007C7AEB" w:rsidRDefault="007C7AEB" w:rsidP="006B04B6">
      <w:r>
        <w:separator/>
      </w:r>
    </w:p>
  </w:footnote>
  <w:footnote w:type="continuationSeparator" w:id="0">
    <w:p w14:paraId="1EA0900A" w14:textId="77777777" w:rsidR="007C7AEB" w:rsidRDefault="007C7AEB" w:rsidP="006B04B6">
      <w:r>
        <w:continuationSeparator/>
      </w:r>
    </w:p>
  </w:footnote>
  <w:footnote w:id="1">
    <w:p w14:paraId="01439DDA" w14:textId="77777777" w:rsidR="004738A7" w:rsidRDefault="004738A7" w:rsidP="006D1984">
      <w:pPr>
        <w:pStyle w:val="Textonotapie"/>
        <w:spacing w:line="240" w:lineRule="auto"/>
      </w:pPr>
      <w:r>
        <w:rPr>
          <w:rStyle w:val="Refdenotaalpie"/>
        </w:rPr>
        <w:footnoteRef/>
      </w:r>
      <w:r>
        <w:t xml:space="preserve"> </w:t>
      </w:r>
      <w:r w:rsidRPr="009E58B1">
        <w:rPr>
          <w:rFonts w:ascii="Times New Roman" w:hAnsi="Times New Roman" w:cs="Times New Roman"/>
          <w:sz w:val="20"/>
          <w:szCs w:val="20"/>
        </w:rPr>
        <w:t xml:space="preserve">Agradezco a, en </w:t>
      </w:r>
      <w:r>
        <w:rPr>
          <w:rFonts w:ascii="Times New Roman" w:hAnsi="Times New Roman" w:cs="Times New Roman"/>
          <w:sz w:val="20"/>
          <w:szCs w:val="20"/>
        </w:rPr>
        <w:t>su</w:t>
      </w:r>
      <w:r w:rsidRPr="009E58B1">
        <w:rPr>
          <w:rFonts w:ascii="Times New Roman" w:hAnsi="Times New Roman" w:cs="Times New Roman"/>
          <w:sz w:val="20"/>
          <w:szCs w:val="20"/>
        </w:rPr>
        <w:t xml:space="preserve"> momento, Presidente del CIS, Ramón Ramos, y a su Director de Investigación, Javier Callejo, la inclusión de esta batería de preguntas sobre estados emocionales.</w:t>
      </w:r>
    </w:p>
  </w:footnote>
  <w:footnote w:id="2">
    <w:p w14:paraId="1A0B5EC2" w14:textId="77777777" w:rsidR="004738A7" w:rsidRPr="00A01822" w:rsidRDefault="004738A7" w:rsidP="006D1984">
      <w:pPr>
        <w:pStyle w:val="Textonotaalfinal"/>
        <w:spacing w:line="240" w:lineRule="auto"/>
        <w:rPr>
          <w:rFonts w:ascii="Times New Roman" w:hAnsi="Times New Roman" w:cs="Times New Roman"/>
          <w:sz w:val="20"/>
          <w:szCs w:val="20"/>
        </w:rPr>
      </w:pPr>
      <w:r w:rsidRPr="00A01822">
        <w:rPr>
          <w:rStyle w:val="Refdenotaalpie"/>
          <w:rFonts w:ascii="Times New Roman" w:hAnsi="Times New Roman" w:cs="Times New Roman"/>
        </w:rPr>
        <w:footnoteRef/>
      </w:r>
      <w:r w:rsidRPr="00A01822">
        <w:rPr>
          <w:rFonts w:ascii="Times New Roman" w:hAnsi="Times New Roman" w:cs="Times New Roman"/>
        </w:rPr>
        <w:t xml:space="preserve"> </w:t>
      </w:r>
      <w:r w:rsidRPr="00A01822">
        <w:rPr>
          <w:rFonts w:ascii="Times New Roman" w:hAnsi="Times New Roman" w:cs="Times New Roman"/>
          <w:sz w:val="20"/>
          <w:szCs w:val="20"/>
        </w:rPr>
        <w:t>En este análisis de la Encuesta Social Europa se ha incluido 20 países: Austria, Bélgica Bulgaria, Suiza, Chipre, Alemania, Dinamarca, Estonia, España, Finlandia, Francia, Reino Unido, Irlanda, Holanda, Noruega, Polonia, Portugal, Suiza, Eslovenia y Eslovaquia.</w:t>
      </w:r>
    </w:p>
    <w:p w14:paraId="413EF28C" w14:textId="77777777" w:rsidR="004738A7" w:rsidRDefault="004738A7">
      <w:pPr>
        <w:pStyle w:val="Textonotapie"/>
      </w:pPr>
    </w:p>
  </w:footnote>
  <w:footnote w:id="3">
    <w:p w14:paraId="7F85335F" w14:textId="77777777" w:rsidR="004738A7" w:rsidRPr="00CE2951" w:rsidRDefault="004738A7" w:rsidP="00626F34">
      <w:pPr>
        <w:pStyle w:val="Textonotapie"/>
        <w:spacing w:line="240" w:lineRule="auto"/>
        <w:rPr>
          <w:rFonts w:ascii="Times New Roman" w:hAnsi="Times New Roman" w:cs="Times New Roman"/>
          <w:sz w:val="20"/>
          <w:szCs w:val="20"/>
        </w:rPr>
      </w:pPr>
      <w:r w:rsidRPr="009A5ED9">
        <w:rPr>
          <w:rStyle w:val="Refdenotaalpie"/>
          <w:rFonts w:ascii="Times New Roman" w:hAnsi="Times New Roman" w:cs="Times New Roman"/>
        </w:rPr>
        <w:footnoteRef/>
      </w:r>
      <w:r w:rsidRPr="009A5ED9">
        <w:rPr>
          <w:rFonts w:ascii="Times New Roman" w:hAnsi="Times New Roman" w:cs="Times New Roman"/>
        </w:rPr>
        <w:t xml:space="preserve"> </w:t>
      </w:r>
      <w:r w:rsidRPr="00CE2951">
        <w:rPr>
          <w:rFonts w:ascii="Times New Roman" w:hAnsi="Times New Roman" w:cs="Times New Roman"/>
          <w:sz w:val="20"/>
          <w:szCs w:val="20"/>
        </w:rPr>
        <w:t>Bélgica, Bulgaria, Suiza, Chipre, Alemania, Dinamarca, Estonia, España, Finlandia, Francia, Reino Unido, Hungría, Irlanda, Holanda, Noruega, Polonia, Portugal, Suecia, Eslovenia y Eslovaquia.</w:t>
      </w:r>
    </w:p>
  </w:footnote>
  <w:footnote w:id="4">
    <w:p w14:paraId="341352EE" w14:textId="270BDEE0" w:rsidR="004738A7" w:rsidRPr="0011043E" w:rsidRDefault="004738A7" w:rsidP="00105B3A">
      <w:pPr>
        <w:pStyle w:val="Textonotapie"/>
        <w:spacing w:line="240" w:lineRule="auto"/>
        <w:rPr>
          <w:rFonts w:ascii="Times New Roman" w:hAnsi="Times New Roman" w:cs="Times New Roman"/>
          <w:sz w:val="20"/>
          <w:szCs w:val="20"/>
        </w:rPr>
      </w:pPr>
      <w:r>
        <w:rPr>
          <w:rStyle w:val="Refdenotaalpie"/>
        </w:rPr>
        <w:footnoteRef/>
      </w:r>
      <w:r>
        <w:t xml:space="preserve"> </w:t>
      </w:r>
      <w:r>
        <w:rPr>
          <w:rFonts w:ascii="Times New Roman" w:hAnsi="Times New Roman" w:cs="Times New Roman"/>
          <w:sz w:val="20"/>
          <w:szCs w:val="20"/>
        </w:rPr>
        <w:t>Las siguientes estimaciones requieren una escala numérica que incluya un cero absoluto. De ahí que se utilicen los valores Kelvin del Índice de Bienestar Socioemocional (IBSE). Ver Gráfico 4.1.</w:t>
      </w:r>
      <w:r w:rsidRPr="0011043E">
        <w:rPr>
          <w:rFonts w:ascii="Times New Roman" w:hAnsi="Times New Roman" w:cs="Times New Roman"/>
          <w:sz w:val="20"/>
          <w:szCs w:val="20"/>
        </w:rPr>
        <w:t xml:space="preserve"> </w:t>
      </w:r>
    </w:p>
  </w:footnote>
  <w:footnote w:id="5">
    <w:p w14:paraId="31B43923" w14:textId="77777777" w:rsidR="004738A7" w:rsidRPr="0088652E" w:rsidRDefault="004738A7" w:rsidP="00D11A94">
      <w:pPr>
        <w:pStyle w:val="Textonotapie"/>
        <w:spacing w:line="240" w:lineRule="auto"/>
        <w:rPr>
          <w:rFonts w:ascii="Times New Roman" w:hAnsi="Times New Roman" w:cs="Times New Roman"/>
          <w:sz w:val="20"/>
          <w:szCs w:val="20"/>
        </w:rPr>
      </w:pPr>
      <w:r w:rsidRPr="00ED4C1B">
        <w:rPr>
          <w:rStyle w:val="Refdenotaalpie"/>
          <w:rFonts w:ascii="Times New Roman" w:hAnsi="Times New Roman" w:cs="Times New Roman"/>
        </w:rPr>
        <w:footnoteRef/>
      </w:r>
      <w:r w:rsidRPr="00ED4C1B">
        <w:rPr>
          <w:rFonts w:ascii="Times New Roman" w:hAnsi="Times New Roman" w:cs="Times New Roman"/>
        </w:rPr>
        <w:t xml:space="preserve"> </w:t>
      </w:r>
      <w:r w:rsidRPr="0088652E">
        <w:rPr>
          <w:rFonts w:ascii="Times New Roman" w:hAnsi="Times New Roman" w:cs="Times New Roman"/>
          <w:sz w:val="20"/>
          <w:szCs w:val="20"/>
        </w:rPr>
        <w:t>En esta investigación, el conjunto “Europa-27”, est</w:t>
      </w:r>
      <w:r>
        <w:rPr>
          <w:rFonts w:ascii="Times New Roman" w:hAnsi="Times New Roman" w:cs="Times New Roman"/>
          <w:sz w:val="20"/>
          <w:szCs w:val="20"/>
        </w:rPr>
        <w:t>á formado por todos aquellos paí</w:t>
      </w:r>
      <w:r w:rsidRPr="0088652E">
        <w:rPr>
          <w:rFonts w:ascii="Times New Roman" w:hAnsi="Times New Roman" w:cs="Times New Roman"/>
          <w:sz w:val="20"/>
          <w:szCs w:val="20"/>
        </w:rPr>
        <w:t>ses europeos que han participado</w:t>
      </w:r>
      <w:r>
        <w:rPr>
          <w:rFonts w:ascii="Times New Roman" w:hAnsi="Times New Roman" w:cs="Times New Roman"/>
          <w:sz w:val="20"/>
          <w:szCs w:val="20"/>
        </w:rPr>
        <w:t xml:space="preserve">, bien en las </w:t>
      </w:r>
      <w:r w:rsidRPr="0088652E">
        <w:rPr>
          <w:rFonts w:ascii="Times New Roman" w:hAnsi="Times New Roman" w:cs="Times New Roman"/>
          <w:sz w:val="20"/>
          <w:szCs w:val="20"/>
        </w:rPr>
        <w:t>oleadas 2006 y 2012 de la Encue</w:t>
      </w:r>
      <w:r>
        <w:rPr>
          <w:rFonts w:ascii="Times New Roman" w:hAnsi="Times New Roman" w:cs="Times New Roman"/>
          <w:sz w:val="20"/>
          <w:szCs w:val="20"/>
        </w:rPr>
        <w:t>sta Social Europea (ESS)</w:t>
      </w:r>
      <w:r w:rsidRPr="0088652E">
        <w:rPr>
          <w:rFonts w:ascii="Times New Roman" w:hAnsi="Times New Roman" w:cs="Times New Roman"/>
          <w:sz w:val="20"/>
          <w:szCs w:val="20"/>
        </w:rPr>
        <w:t xml:space="preserve">, </w:t>
      </w:r>
      <w:r>
        <w:rPr>
          <w:rFonts w:ascii="Times New Roman" w:hAnsi="Times New Roman" w:cs="Times New Roman"/>
          <w:sz w:val="20"/>
          <w:szCs w:val="20"/>
        </w:rPr>
        <w:t xml:space="preserve">o bien en alguna de ellas. Dado que en muchos ocasiones, como sucede en esta, se aportan datos sobre sub-poblaciones relativamente pequeñas, es absolutamente imprescindible contar con el mayor tamaño muestral posible. En suma, “Europa-27” está compuesto por el grupo de países “Europa-20” ó participantes en ambas </w:t>
      </w:r>
      <w:r w:rsidRPr="00BA0203">
        <w:rPr>
          <w:rFonts w:ascii="Times New Roman" w:hAnsi="Times New Roman" w:cs="Times New Roman"/>
          <w:sz w:val="20"/>
          <w:szCs w:val="20"/>
        </w:rPr>
        <w:t>oleadas (Bélgica, Bulgaria, Suiza, Chipre, Alemania, Dinamarca, Estonia, España, Finlandia, Francia, Reino Unido, Hungría, Irlanda, Holanda, Noruega, Polonia, Portugal,</w:t>
      </w:r>
      <w:r>
        <w:rPr>
          <w:rFonts w:ascii="Times New Roman" w:hAnsi="Times New Roman" w:cs="Times New Roman"/>
          <w:sz w:val="20"/>
          <w:szCs w:val="20"/>
        </w:rPr>
        <w:t xml:space="preserve"> Suecia, Eslovenia y Eslovaquia</w:t>
      </w:r>
      <w:r w:rsidRPr="00BA0203">
        <w:rPr>
          <w:rFonts w:ascii="Times New Roman" w:hAnsi="Times New Roman" w:cs="Times New Roman"/>
          <w:sz w:val="20"/>
          <w:szCs w:val="20"/>
        </w:rPr>
        <w:t>), más los países</w:t>
      </w:r>
      <w:r>
        <w:rPr>
          <w:rFonts w:ascii="Times New Roman" w:hAnsi="Times New Roman" w:cs="Times New Roman"/>
          <w:sz w:val="20"/>
          <w:szCs w:val="20"/>
        </w:rPr>
        <w:t xml:space="preserve"> siguientes: Albania, Austria, República Checa, Islandia, Italia, Lituania y Kosovo. La estrategia metodológica de fusionar las muestras de las dos oleadas (2006+2012) responde a la misma necesidad don contar con tamaños muestrales tan amplios como fuera posible.</w:t>
      </w:r>
    </w:p>
  </w:footnote>
  <w:footnote w:id="6">
    <w:p w14:paraId="0C2CDF12" w14:textId="77777777" w:rsidR="004738A7" w:rsidRPr="00DD7C77" w:rsidRDefault="004738A7">
      <w:pPr>
        <w:pStyle w:val="Textonotapie"/>
        <w:rPr>
          <w:rFonts w:ascii="Times New Roman" w:hAnsi="Times New Roman" w:cs="Times New Roman"/>
          <w:sz w:val="20"/>
          <w:szCs w:val="20"/>
        </w:rPr>
      </w:pPr>
      <w:r>
        <w:rPr>
          <w:rStyle w:val="Refdenotaalpie"/>
        </w:rPr>
        <w:footnoteRef/>
      </w:r>
      <w:r>
        <w:t xml:space="preserve"> </w:t>
      </w:r>
      <w:r w:rsidRPr="00DD7C77">
        <w:rPr>
          <w:rFonts w:ascii="Times New Roman" w:hAnsi="Times New Roman" w:cs="Times New Roman"/>
          <w:sz w:val="20"/>
          <w:szCs w:val="20"/>
        </w:rPr>
        <w:t>La cursiva es mía.</w:t>
      </w:r>
    </w:p>
  </w:footnote>
  <w:footnote w:id="7">
    <w:p w14:paraId="30766C76" w14:textId="77777777" w:rsidR="004738A7" w:rsidRPr="00CA3CB9" w:rsidRDefault="004738A7" w:rsidP="00F14A52">
      <w:pPr>
        <w:spacing w:line="240" w:lineRule="auto"/>
        <w:rPr>
          <w:rFonts w:ascii="Times New Roman" w:hAnsi="Times New Roman" w:cs="Times New Roman"/>
          <w:sz w:val="20"/>
          <w:szCs w:val="20"/>
        </w:rPr>
      </w:pPr>
      <w:r>
        <w:rPr>
          <w:rStyle w:val="Refdenotaalpie"/>
        </w:rPr>
        <w:footnoteRef/>
      </w:r>
      <w:r>
        <w:t xml:space="preserve"> </w:t>
      </w:r>
      <w:r w:rsidRPr="00CA3CB9">
        <w:rPr>
          <w:rFonts w:ascii="Times New Roman" w:hAnsi="Times New Roman" w:cs="Times New Roman"/>
          <w:sz w:val="20"/>
          <w:szCs w:val="20"/>
        </w:rPr>
        <w:t>En la versión inglesa el “0” equivalía a “nada, en absoluto”, y el “6” a “mucho”. Esta variación hace que los datos de España y Europa no sean estrictamente comparables, pero ambos sirven igualmente para comprobar la relación existente entre respecto y felicidad.</w:t>
      </w:r>
    </w:p>
    <w:p w14:paraId="4A2BCA2D" w14:textId="77777777" w:rsidR="004738A7" w:rsidRPr="00AA273E" w:rsidRDefault="004738A7">
      <w:pPr>
        <w:pStyle w:val="Textonotapie"/>
        <w:rPr>
          <w:rFonts w:ascii="Times New Roman" w:hAnsi="Times New Roman" w:cs="Times New Roman"/>
          <w:sz w:val="20"/>
          <w:szCs w:val="20"/>
        </w:rPr>
      </w:pPr>
    </w:p>
  </w:footnote>
  <w:footnote w:id="8">
    <w:p w14:paraId="645D0D18" w14:textId="77777777" w:rsidR="004738A7" w:rsidRPr="00D006BF" w:rsidRDefault="004738A7" w:rsidP="00E32255">
      <w:pPr>
        <w:pStyle w:val="Textonotapie"/>
        <w:spacing w:line="240" w:lineRule="auto"/>
        <w:rPr>
          <w:rFonts w:ascii="Times New Roman" w:hAnsi="Times New Roman" w:cs="Times New Roman"/>
          <w:sz w:val="20"/>
          <w:szCs w:val="20"/>
        </w:rPr>
      </w:pPr>
      <w:r>
        <w:rPr>
          <w:rStyle w:val="Refdenotaalpie"/>
        </w:rPr>
        <w:footnoteRef/>
      </w:r>
      <w:r>
        <w:t xml:space="preserve"> </w:t>
      </w:r>
      <w:r w:rsidRPr="00D006BF">
        <w:rPr>
          <w:rFonts w:ascii="Times New Roman" w:hAnsi="Times New Roman" w:cs="Times New Roman"/>
          <w:sz w:val="20"/>
          <w:szCs w:val="20"/>
        </w:rPr>
        <w:t xml:space="preserve">La inversión de la escala de felicidad, que da lugar al valor de “malestar socioemocional”, se ha realizado aplicando la siguiente transformación: Índice de Malestar Socioemocional (IMSE) = 100 – IBSE. El IMSE está expresado en valores o grados Kelvin.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872C8" w14:textId="77777777" w:rsidR="004738A7" w:rsidRPr="00A54A83" w:rsidRDefault="004738A7" w:rsidP="000537EA">
    <w:pPr>
      <w:pStyle w:val="Encabezado"/>
      <w:spacing w:line="240" w:lineRule="auto"/>
      <w:rPr>
        <w:sz w:val="16"/>
        <w:szCs w:val="16"/>
      </w:rPr>
    </w:pPr>
  </w:p>
  <w:p w14:paraId="50FC7677" w14:textId="379E58E6" w:rsidR="004738A7" w:rsidRPr="000537EA" w:rsidRDefault="004738A7" w:rsidP="000537EA">
    <w:pPr>
      <w:pStyle w:val="Encabezado"/>
      <w:spacing w:line="240" w:lineRule="auto"/>
      <w:rPr>
        <w:color w:val="365F91" w:themeColor="accent1" w:themeShade="BF"/>
        <w:u w:val="single"/>
      </w:rPr>
    </w:pPr>
    <w:r>
      <w:rPr>
        <w:color w:val="365F91" w:themeColor="accent1" w:themeShade="BF"/>
        <w:u w:val="single"/>
      </w:rPr>
      <w:t>EXCLUIDOS DE LA FELICIDAD</w:t>
    </w:r>
    <w:r w:rsidRPr="000537EA">
      <w:rPr>
        <w:color w:val="365F91" w:themeColor="accent1" w:themeShade="BF"/>
        <w:u w:val="single"/>
      </w:rPr>
      <w:ptab w:relativeTo="margin" w:alignment="center" w:leader="none"/>
    </w:r>
    <w:r w:rsidRPr="000537EA">
      <w:rPr>
        <w:color w:val="365F91" w:themeColor="accent1" w:themeShade="BF"/>
        <w:u w:val="single"/>
      </w:rPr>
      <w:ptab w:relativeTo="margin" w:alignment="right" w:leader="none"/>
    </w:r>
    <w:r w:rsidRPr="000537EA">
      <w:rPr>
        <w:color w:val="365F91" w:themeColor="accent1" w:themeShade="BF"/>
        <w:u w:val="single"/>
      </w:rPr>
      <w:t>E Bericat</w:t>
    </w:r>
  </w:p>
  <w:p w14:paraId="21DDAB9B" w14:textId="07EE032C" w:rsidR="004738A7" w:rsidRDefault="004738A7" w:rsidP="0077038D">
    <w:pPr>
      <w:pStyle w:val="Encabezado"/>
      <w:tabs>
        <w:tab w:val="clear" w:pos="4252"/>
        <w:tab w:val="clear" w:pos="8504"/>
        <w:tab w:val="left" w:pos="1827"/>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551E4" w14:textId="77777777" w:rsidR="004738A7" w:rsidRPr="00A54A83" w:rsidRDefault="004738A7">
    <w:pPr>
      <w:pStyle w:val="Encabezado"/>
      <w:rPr>
        <w:color w:val="365F91" w:themeColor="accent1" w:themeShade="BF"/>
        <w:sz w:val="8"/>
        <w:szCs w:val="8"/>
        <w:u w:val="single"/>
      </w:rPr>
    </w:pPr>
  </w:p>
  <w:p w14:paraId="5FC36168" w14:textId="42CF01A4" w:rsidR="004738A7" w:rsidRPr="000537EA" w:rsidRDefault="004738A7">
    <w:pPr>
      <w:pStyle w:val="Encabezado"/>
      <w:rPr>
        <w:color w:val="365F91" w:themeColor="accent1" w:themeShade="BF"/>
        <w:u w:val="single"/>
      </w:rPr>
    </w:pPr>
    <w:r>
      <w:rPr>
        <w:color w:val="365F91" w:themeColor="accent1" w:themeShade="BF"/>
        <w:u w:val="single"/>
      </w:rPr>
      <w:t>Conclusiones</w:t>
    </w:r>
    <w:r w:rsidRPr="000537EA">
      <w:rPr>
        <w:color w:val="365F91" w:themeColor="accent1" w:themeShade="BF"/>
        <w:u w:val="single"/>
      </w:rPr>
      <w:ptab w:relativeTo="margin" w:alignment="center" w:leader="none"/>
    </w:r>
    <w:r w:rsidRPr="000537EA">
      <w:rPr>
        <w:color w:val="365F91" w:themeColor="accent1" w:themeShade="BF"/>
        <w:u w:val="single"/>
      </w:rPr>
      <w:ptab w:relativeTo="margin" w:alignment="right" w:leader="none"/>
    </w:r>
    <w:r w:rsidRPr="000537EA">
      <w:rPr>
        <w:color w:val="365F91" w:themeColor="accent1" w:themeShade="BF"/>
        <w:u w:val="single"/>
      </w:rPr>
      <w:t>E Bericat</w:t>
    </w:r>
  </w:p>
  <w:p w14:paraId="657CBADB" w14:textId="77777777" w:rsidR="004738A7" w:rsidRPr="00A45459" w:rsidRDefault="004738A7">
    <w:pPr>
      <w:pStyle w:val="Encabezado"/>
      <w:rPr>
        <w:color w:val="17365D" w:themeColor="text2" w:themeShade="BF"/>
        <w:sz w:val="19"/>
        <w:szCs w:val="19"/>
        <w:u w:val="single"/>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3D315C" w14:textId="77777777" w:rsidR="004738A7" w:rsidRPr="00A54A83" w:rsidRDefault="004738A7">
    <w:pPr>
      <w:pStyle w:val="Encabezado"/>
      <w:rPr>
        <w:color w:val="365F91" w:themeColor="accent1" w:themeShade="BF"/>
        <w:sz w:val="8"/>
        <w:szCs w:val="8"/>
        <w:u w:val="single"/>
      </w:rPr>
    </w:pPr>
  </w:p>
  <w:p w14:paraId="369B525E" w14:textId="5E32C427" w:rsidR="004738A7" w:rsidRPr="000537EA" w:rsidRDefault="004738A7">
    <w:pPr>
      <w:pStyle w:val="Encabezado"/>
      <w:rPr>
        <w:color w:val="365F91" w:themeColor="accent1" w:themeShade="BF"/>
        <w:u w:val="single"/>
      </w:rPr>
    </w:pPr>
    <w:r>
      <w:rPr>
        <w:color w:val="365F91" w:themeColor="accent1" w:themeShade="BF"/>
        <w:u w:val="single"/>
      </w:rPr>
      <w:t>Referencias</w:t>
    </w:r>
    <w:r w:rsidRPr="000537EA">
      <w:rPr>
        <w:color w:val="365F91" w:themeColor="accent1" w:themeShade="BF"/>
        <w:u w:val="single"/>
      </w:rPr>
      <w:ptab w:relativeTo="margin" w:alignment="center" w:leader="none"/>
    </w:r>
    <w:r w:rsidRPr="000537EA">
      <w:rPr>
        <w:color w:val="365F91" w:themeColor="accent1" w:themeShade="BF"/>
        <w:u w:val="single"/>
      </w:rPr>
      <w:ptab w:relativeTo="margin" w:alignment="right" w:leader="none"/>
    </w:r>
    <w:r w:rsidRPr="000537EA">
      <w:rPr>
        <w:color w:val="365F91" w:themeColor="accent1" w:themeShade="BF"/>
        <w:u w:val="single"/>
      </w:rPr>
      <w:t>E Bericat</w:t>
    </w:r>
  </w:p>
  <w:p w14:paraId="7FB39F9C" w14:textId="77777777" w:rsidR="004738A7" w:rsidRPr="00A45459" w:rsidRDefault="004738A7">
    <w:pPr>
      <w:pStyle w:val="Encabezado"/>
      <w:rPr>
        <w:color w:val="17365D" w:themeColor="text2" w:themeShade="BF"/>
        <w:sz w:val="19"/>
        <w:szCs w:val="19"/>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97A868" w14:textId="77777777" w:rsidR="004738A7" w:rsidRPr="000537EA" w:rsidRDefault="004738A7" w:rsidP="000537EA">
    <w:pPr>
      <w:pStyle w:val="Encabezado"/>
      <w:spacing w:line="240" w:lineRule="auto"/>
      <w:rPr>
        <w:color w:val="365F91" w:themeColor="accent1" w:themeShade="BF"/>
        <w:sz w:val="8"/>
        <w:szCs w:val="8"/>
      </w:rPr>
    </w:pPr>
  </w:p>
  <w:p w14:paraId="1DD1CAA5" w14:textId="246AAB16" w:rsidR="004738A7" w:rsidRPr="000537EA" w:rsidRDefault="004738A7" w:rsidP="000537EA">
    <w:pPr>
      <w:pStyle w:val="Encabezado"/>
      <w:spacing w:line="240" w:lineRule="auto"/>
      <w:rPr>
        <w:color w:val="365F91" w:themeColor="accent1" w:themeShade="BF"/>
        <w:u w:val="single"/>
      </w:rPr>
    </w:pPr>
    <w:r w:rsidRPr="000537EA">
      <w:rPr>
        <w:color w:val="365F91" w:themeColor="accent1" w:themeShade="BF"/>
        <w:u w:val="single"/>
      </w:rPr>
      <w:t>Introducción</w:t>
    </w:r>
    <w:r w:rsidRPr="000537EA">
      <w:rPr>
        <w:color w:val="365F91" w:themeColor="accent1" w:themeShade="BF"/>
        <w:u w:val="single"/>
      </w:rPr>
      <w:ptab w:relativeTo="margin" w:alignment="center" w:leader="none"/>
    </w:r>
    <w:r w:rsidRPr="000537EA">
      <w:rPr>
        <w:color w:val="365F91" w:themeColor="accent1" w:themeShade="BF"/>
        <w:u w:val="single"/>
      </w:rPr>
      <w:ptab w:relativeTo="margin" w:alignment="right" w:leader="none"/>
    </w:r>
    <w:r w:rsidRPr="000537EA">
      <w:rPr>
        <w:color w:val="365F91" w:themeColor="accent1" w:themeShade="BF"/>
        <w:u w:val="single"/>
      </w:rPr>
      <w:t>E Bericat</w:t>
    </w:r>
  </w:p>
  <w:p w14:paraId="6DCA0231" w14:textId="05F83051" w:rsidR="004738A7" w:rsidRPr="00A45459" w:rsidRDefault="004738A7">
    <w:pPr>
      <w:pStyle w:val="Encabezado"/>
      <w:rPr>
        <w:color w:val="17365D" w:themeColor="text2" w:themeShade="BF"/>
        <w:sz w:val="19"/>
        <w:szCs w:val="19"/>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E56AC0" w14:textId="77777777" w:rsidR="004738A7" w:rsidRDefault="004738A7">
    <w:pPr>
      <w:pStyle w:val="Encabezado"/>
      <w:rPr>
        <w:color w:val="365F91" w:themeColor="accent1" w:themeShade="BF"/>
        <w:u w:val="single"/>
      </w:rPr>
    </w:pPr>
  </w:p>
  <w:p w14:paraId="3332C96E" w14:textId="0204DCB5" w:rsidR="004738A7" w:rsidRPr="000537EA" w:rsidRDefault="004738A7">
    <w:pPr>
      <w:pStyle w:val="Encabezado"/>
      <w:rPr>
        <w:color w:val="365F91" w:themeColor="accent1" w:themeShade="BF"/>
        <w:u w:val="single"/>
      </w:rPr>
    </w:pPr>
    <w:r>
      <w:rPr>
        <w:color w:val="365F91" w:themeColor="accent1" w:themeShade="BF"/>
        <w:u w:val="single"/>
      </w:rPr>
      <w:t>1  Sobre la felicidad</w:t>
    </w:r>
    <w:r w:rsidRPr="000537EA">
      <w:rPr>
        <w:color w:val="365F91" w:themeColor="accent1" w:themeShade="BF"/>
        <w:u w:val="single"/>
      </w:rPr>
      <w:ptab w:relativeTo="margin" w:alignment="center" w:leader="none"/>
    </w:r>
    <w:r w:rsidRPr="000537EA">
      <w:rPr>
        <w:color w:val="365F91" w:themeColor="accent1" w:themeShade="BF"/>
        <w:u w:val="single"/>
      </w:rPr>
      <w:ptab w:relativeTo="margin" w:alignment="right" w:leader="none"/>
    </w:r>
    <w:r w:rsidRPr="000537EA">
      <w:rPr>
        <w:color w:val="365F91" w:themeColor="accent1" w:themeShade="BF"/>
        <w:u w:val="single"/>
      </w:rPr>
      <w:t>E Bericat</w:t>
    </w:r>
  </w:p>
  <w:p w14:paraId="3E665974" w14:textId="77777777" w:rsidR="004738A7" w:rsidRPr="00A45459" w:rsidRDefault="004738A7">
    <w:pPr>
      <w:pStyle w:val="Encabezado"/>
      <w:rPr>
        <w:color w:val="17365D" w:themeColor="text2" w:themeShade="BF"/>
        <w:sz w:val="19"/>
        <w:szCs w:val="19"/>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C55BB0" w14:textId="77777777" w:rsidR="004738A7" w:rsidRDefault="004738A7">
    <w:pPr>
      <w:pStyle w:val="Encabezado"/>
      <w:rPr>
        <w:color w:val="365F91" w:themeColor="accent1" w:themeShade="BF"/>
        <w:u w:val="single"/>
      </w:rPr>
    </w:pPr>
  </w:p>
  <w:p w14:paraId="105B4BC7" w14:textId="191775C5" w:rsidR="004738A7" w:rsidRPr="000537EA" w:rsidRDefault="004738A7">
    <w:pPr>
      <w:pStyle w:val="Encabezado"/>
      <w:rPr>
        <w:color w:val="365F91" w:themeColor="accent1" w:themeShade="BF"/>
        <w:u w:val="single"/>
      </w:rPr>
    </w:pPr>
    <w:r>
      <w:rPr>
        <w:color w:val="365F91" w:themeColor="accent1" w:themeShade="BF"/>
        <w:u w:val="single"/>
      </w:rPr>
      <w:t xml:space="preserve">4  </w:t>
    </w:r>
    <w:r w:rsidRPr="000537EA">
      <w:rPr>
        <w:color w:val="365F91" w:themeColor="accent1" w:themeShade="BF"/>
        <w:u w:val="single"/>
      </w:rPr>
      <w:ptab w:relativeTo="margin" w:alignment="center" w:leader="none"/>
    </w:r>
    <w:r w:rsidRPr="000537EA">
      <w:rPr>
        <w:color w:val="365F91" w:themeColor="accent1" w:themeShade="BF"/>
        <w:u w:val="single"/>
      </w:rPr>
      <w:ptab w:relativeTo="margin" w:alignment="right" w:leader="none"/>
    </w:r>
    <w:r w:rsidRPr="000537EA">
      <w:rPr>
        <w:color w:val="365F91" w:themeColor="accent1" w:themeShade="BF"/>
        <w:u w:val="single"/>
      </w:rPr>
      <w:t>E Bericat</w:t>
    </w:r>
  </w:p>
  <w:p w14:paraId="1976C6CB" w14:textId="77777777" w:rsidR="004738A7" w:rsidRPr="00A45459" w:rsidRDefault="004738A7">
    <w:pPr>
      <w:pStyle w:val="Encabezado"/>
      <w:rPr>
        <w:color w:val="17365D" w:themeColor="text2" w:themeShade="BF"/>
        <w:sz w:val="19"/>
        <w:szCs w:val="19"/>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1620CD" w14:textId="77777777" w:rsidR="004738A7" w:rsidRPr="00A54A83" w:rsidRDefault="004738A7">
    <w:pPr>
      <w:pStyle w:val="Encabezado"/>
      <w:rPr>
        <w:color w:val="365F91" w:themeColor="accent1" w:themeShade="BF"/>
        <w:sz w:val="8"/>
        <w:szCs w:val="8"/>
        <w:u w:val="single"/>
      </w:rPr>
    </w:pPr>
  </w:p>
  <w:p w14:paraId="19F50522" w14:textId="1752B19F" w:rsidR="004738A7" w:rsidRPr="000537EA" w:rsidRDefault="004738A7">
    <w:pPr>
      <w:pStyle w:val="Encabezado"/>
      <w:rPr>
        <w:color w:val="365F91" w:themeColor="accent1" w:themeShade="BF"/>
        <w:u w:val="single"/>
      </w:rPr>
    </w:pPr>
    <w:r>
      <w:rPr>
        <w:color w:val="365F91" w:themeColor="accent1" w:themeShade="BF"/>
        <w:u w:val="single"/>
      </w:rPr>
      <w:t>4  Excluidos de la felicidad</w:t>
    </w:r>
    <w:r w:rsidRPr="000537EA">
      <w:rPr>
        <w:color w:val="365F91" w:themeColor="accent1" w:themeShade="BF"/>
        <w:u w:val="single"/>
      </w:rPr>
      <w:ptab w:relativeTo="margin" w:alignment="center" w:leader="none"/>
    </w:r>
    <w:r w:rsidRPr="000537EA">
      <w:rPr>
        <w:color w:val="365F91" w:themeColor="accent1" w:themeShade="BF"/>
        <w:u w:val="single"/>
      </w:rPr>
      <w:ptab w:relativeTo="margin" w:alignment="right" w:leader="none"/>
    </w:r>
    <w:r w:rsidRPr="000537EA">
      <w:rPr>
        <w:color w:val="365F91" w:themeColor="accent1" w:themeShade="BF"/>
        <w:u w:val="single"/>
      </w:rPr>
      <w:t>E Bericat</w:t>
    </w:r>
  </w:p>
  <w:p w14:paraId="67D2A6B7" w14:textId="77777777" w:rsidR="004738A7" w:rsidRPr="00A45459" w:rsidRDefault="004738A7">
    <w:pPr>
      <w:pStyle w:val="Encabezado"/>
      <w:rPr>
        <w:color w:val="17365D" w:themeColor="text2" w:themeShade="BF"/>
        <w:sz w:val="19"/>
        <w:szCs w:val="19"/>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2ED1C0" w14:textId="77777777" w:rsidR="004738A7" w:rsidRPr="00A54A83" w:rsidRDefault="004738A7">
    <w:pPr>
      <w:pStyle w:val="Encabezado"/>
      <w:rPr>
        <w:color w:val="365F91" w:themeColor="accent1" w:themeShade="BF"/>
        <w:sz w:val="8"/>
        <w:szCs w:val="8"/>
        <w:u w:val="single"/>
      </w:rPr>
    </w:pPr>
  </w:p>
  <w:p w14:paraId="66319A00" w14:textId="575FB688" w:rsidR="004738A7" w:rsidRPr="000537EA" w:rsidRDefault="004738A7">
    <w:pPr>
      <w:pStyle w:val="Encabezado"/>
      <w:rPr>
        <w:color w:val="365F91" w:themeColor="accent1" w:themeShade="BF"/>
        <w:u w:val="single"/>
      </w:rPr>
    </w:pPr>
    <w:r>
      <w:rPr>
        <w:color w:val="365F91" w:themeColor="accent1" w:themeShade="BF"/>
        <w:u w:val="single"/>
      </w:rPr>
      <w:t>6  Exclusiones sociales: el respeto</w:t>
    </w:r>
    <w:r w:rsidRPr="000537EA">
      <w:rPr>
        <w:color w:val="365F91" w:themeColor="accent1" w:themeShade="BF"/>
        <w:u w:val="single"/>
      </w:rPr>
      <w:ptab w:relativeTo="margin" w:alignment="center" w:leader="none"/>
    </w:r>
    <w:r w:rsidRPr="000537EA">
      <w:rPr>
        <w:color w:val="365F91" w:themeColor="accent1" w:themeShade="BF"/>
        <w:u w:val="single"/>
      </w:rPr>
      <w:ptab w:relativeTo="margin" w:alignment="right" w:leader="none"/>
    </w:r>
    <w:r w:rsidRPr="000537EA">
      <w:rPr>
        <w:color w:val="365F91" w:themeColor="accent1" w:themeShade="BF"/>
        <w:u w:val="single"/>
      </w:rPr>
      <w:t>E Bericat</w:t>
    </w:r>
  </w:p>
  <w:p w14:paraId="17EDD788" w14:textId="77777777" w:rsidR="004738A7" w:rsidRPr="00A45459" w:rsidRDefault="004738A7">
    <w:pPr>
      <w:pStyle w:val="Encabezado"/>
      <w:rPr>
        <w:color w:val="17365D" w:themeColor="text2" w:themeShade="BF"/>
        <w:sz w:val="19"/>
        <w:szCs w:val="19"/>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07370" w14:textId="77777777" w:rsidR="004738A7" w:rsidRPr="00A54A83" w:rsidRDefault="004738A7">
    <w:pPr>
      <w:pStyle w:val="Encabezado"/>
      <w:rPr>
        <w:color w:val="365F91" w:themeColor="accent1" w:themeShade="BF"/>
        <w:sz w:val="8"/>
        <w:szCs w:val="8"/>
        <w:u w:val="single"/>
      </w:rPr>
    </w:pPr>
  </w:p>
  <w:p w14:paraId="0B894FE8" w14:textId="77777777" w:rsidR="004738A7" w:rsidRPr="000537EA" w:rsidRDefault="004738A7">
    <w:pPr>
      <w:pStyle w:val="Encabezado"/>
      <w:rPr>
        <w:color w:val="365F91" w:themeColor="accent1" w:themeShade="BF"/>
        <w:u w:val="single"/>
      </w:rPr>
    </w:pPr>
    <w:r>
      <w:rPr>
        <w:color w:val="365F91" w:themeColor="accent1" w:themeShade="BF"/>
        <w:u w:val="single"/>
      </w:rPr>
      <w:t>6  Exclusiones sociales: el respeto</w:t>
    </w:r>
    <w:r w:rsidRPr="000537EA">
      <w:rPr>
        <w:color w:val="365F91" w:themeColor="accent1" w:themeShade="BF"/>
        <w:u w:val="single"/>
      </w:rPr>
      <w:ptab w:relativeTo="margin" w:alignment="center" w:leader="none"/>
    </w:r>
    <w:r w:rsidRPr="000537EA">
      <w:rPr>
        <w:color w:val="365F91" w:themeColor="accent1" w:themeShade="BF"/>
        <w:u w:val="single"/>
      </w:rPr>
      <w:ptab w:relativeTo="margin" w:alignment="right" w:leader="none"/>
    </w:r>
    <w:r w:rsidRPr="000537EA">
      <w:rPr>
        <w:color w:val="365F91" w:themeColor="accent1" w:themeShade="BF"/>
        <w:u w:val="single"/>
      </w:rPr>
      <w:t>E Bericat</w:t>
    </w:r>
  </w:p>
  <w:p w14:paraId="2DCB1DF2" w14:textId="77777777" w:rsidR="004738A7" w:rsidRPr="00A45459" w:rsidRDefault="004738A7">
    <w:pPr>
      <w:pStyle w:val="Encabezado"/>
      <w:rPr>
        <w:color w:val="17365D" w:themeColor="text2" w:themeShade="BF"/>
        <w:sz w:val="19"/>
        <w:szCs w:val="19"/>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C3955E" w14:textId="77777777" w:rsidR="004738A7" w:rsidRPr="00A54A83" w:rsidRDefault="004738A7">
    <w:pPr>
      <w:pStyle w:val="Encabezado"/>
      <w:rPr>
        <w:color w:val="365F91" w:themeColor="accent1" w:themeShade="BF"/>
        <w:sz w:val="8"/>
        <w:szCs w:val="8"/>
        <w:u w:val="single"/>
      </w:rPr>
    </w:pPr>
  </w:p>
  <w:p w14:paraId="77461A6D" w14:textId="32EB9103" w:rsidR="004738A7" w:rsidRPr="000537EA" w:rsidRDefault="004738A7">
    <w:pPr>
      <w:pStyle w:val="Encabezado"/>
      <w:rPr>
        <w:color w:val="365F91" w:themeColor="accent1" w:themeShade="BF"/>
        <w:u w:val="single"/>
      </w:rPr>
    </w:pPr>
    <w:r>
      <w:rPr>
        <w:color w:val="365F91" w:themeColor="accent1" w:themeShade="BF"/>
        <w:u w:val="single"/>
      </w:rPr>
      <w:t>7  Exclusiones sociales: la pobreza</w:t>
    </w:r>
    <w:r w:rsidRPr="000537EA">
      <w:rPr>
        <w:color w:val="365F91" w:themeColor="accent1" w:themeShade="BF"/>
        <w:u w:val="single"/>
      </w:rPr>
      <w:ptab w:relativeTo="margin" w:alignment="center" w:leader="none"/>
    </w:r>
    <w:r w:rsidRPr="000537EA">
      <w:rPr>
        <w:color w:val="365F91" w:themeColor="accent1" w:themeShade="BF"/>
        <w:u w:val="single"/>
      </w:rPr>
      <w:ptab w:relativeTo="margin" w:alignment="right" w:leader="none"/>
    </w:r>
    <w:r w:rsidRPr="000537EA">
      <w:rPr>
        <w:color w:val="365F91" w:themeColor="accent1" w:themeShade="BF"/>
        <w:u w:val="single"/>
      </w:rPr>
      <w:t>E Bericat</w:t>
    </w:r>
  </w:p>
  <w:p w14:paraId="5770BB5C" w14:textId="77777777" w:rsidR="004738A7" w:rsidRPr="00A45459" w:rsidRDefault="004738A7">
    <w:pPr>
      <w:pStyle w:val="Encabezado"/>
      <w:rPr>
        <w:color w:val="17365D" w:themeColor="text2" w:themeShade="BF"/>
        <w:sz w:val="19"/>
        <w:szCs w:val="19"/>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246056" w14:textId="77777777" w:rsidR="004738A7" w:rsidRPr="00A54A83" w:rsidRDefault="004738A7">
    <w:pPr>
      <w:pStyle w:val="Encabezado"/>
      <w:rPr>
        <w:color w:val="365F91" w:themeColor="accent1" w:themeShade="BF"/>
        <w:sz w:val="8"/>
        <w:szCs w:val="8"/>
        <w:u w:val="single"/>
      </w:rPr>
    </w:pPr>
  </w:p>
  <w:p w14:paraId="5590B5CE" w14:textId="16A57504" w:rsidR="004738A7" w:rsidRPr="000537EA" w:rsidRDefault="004738A7">
    <w:pPr>
      <w:pStyle w:val="Encabezado"/>
      <w:rPr>
        <w:color w:val="365F91" w:themeColor="accent1" w:themeShade="BF"/>
        <w:u w:val="single"/>
      </w:rPr>
    </w:pPr>
    <w:r w:rsidRPr="000537EA">
      <w:rPr>
        <w:color w:val="365F91" w:themeColor="accent1" w:themeShade="BF"/>
        <w:u w:val="single"/>
      </w:rPr>
      <w:ptab w:relativeTo="margin" w:alignment="center" w:leader="none"/>
    </w:r>
    <w:r w:rsidRPr="000537EA">
      <w:rPr>
        <w:color w:val="365F91" w:themeColor="accent1" w:themeShade="BF"/>
        <w:u w:val="single"/>
      </w:rPr>
      <w:ptab w:relativeTo="margin" w:alignment="right" w:leader="none"/>
    </w:r>
    <w:r w:rsidRPr="000537EA">
      <w:rPr>
        <w:color w:val="365F91" w:themeColor="accent1" w:themeShade="BF"/>
        <w:u w:val="single"/>
      </w:rPr>
      <w:t>E Bericat</w:t>
    </w:r>
  </w:p>
  <w:p w14:paraId="2B9B95B3" w14:textId="77777777" w:rsidR="004738A7" w:rsidRPr="00A45459" w:rsidRDefault="004738A7">
    <w:pPr>
      <w:pStyle w:val="Encabezado"/>
      <w:rPr>
        <w:color w:val="17365D" w:themeColor="text2" w:themeShade="BF"/>
        <w:sz w:val="19"/>
        <w:szCs w:val="19"/>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7C483710"/>
    <w:multiLevelType w:val="hybridMultilevel"/>
    <w:tmpl w:val="411AE72E"/>
    <w:lvl w:ilvl="0" w:tplc="7DCA0DD0">
      <w:numFmt w:val="bullet"/>
      <w:lvlText w:val="-"/>
      <w:lvlJc w:val="left"/>
      <w:pPr>
        <w:ind w:left="720" w:hanging="360"/>
      </w:pPr>
      <w:rPr>
        <w:rFonts w:ascii="Cambria" w:eastAsiaTheme="minorEastAsia" w:hAnsi="Cambria"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9"/>
  <w:doNotDisplayPageBoundaries/>
  <w:displayBackgroundShape/>
  <w:hideSpellingErrors/>
  <w:documentProtection w:edit="readOnly" w:enforcement="1"/>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190"/>
    <w:rsid w:val="0000205E"/>
    <w:rsid w:val="000027A0"/>
    <w:rsid w:val="000030E4"/>
    <w:rsid w:val="0000711C"/>
    <w:rsid w:val="00011A50"/>
    <w:rsid w:val="00016317"/>
    <w:rsid w:val="00023AA0"/>
    <w:rsid w:val="00032A7B"/>
    <w:rsid w:val="00034CA1"/>
    <w:rsid w:val="000537EA"/>
    <w:rsid w:val="00054750"/>
    <w:rsid w:val="0005771B"/>
    <w:rsid w:val="0006220B"/>
    <w:rsid w:val="0007402D"/>
    <w:rsid w:val="0007637E"/>
    <w:rsid w:val="0008204D"/>
    <w:rsid w:val="00084CAF"/>
    <w:rsid w:val="00094654"/>
    <w:rsid w:val="00097B2F"/>
    <w:rsid w:val="000A7CCF"/>
    <w:rsid w:val="000B57CF"/>
    <w:rsid w:val="000C41B4"/>
    <w:rsid w:val="000D5190"/>
    <w:rsid w:val="000E4576"/>
    <w:rsid w:val="000E5954"/>
    <w:rsid w:val="000F44A2"/>
    <w:rsid w:val="00104485"/>
    <w:rsid w:val="00105B3A"/>
    <w:rsid w:val="00113DF6"/>
    <w:rsid w:val="00114498"/>
    <w:rsid w:val="001219D9"/>
    <w:rsid w:val="00124D3E"/>
    <w:rsid w:val="00125410"/>
    <w:rsid w:val="00130457"/>
    <w:rsid w:val="00141EA0"/>
    <w:rsid w:val="00142A0B"/>
    <w:rsid w:val="00142C9C"/>
    <w:rsid w:val="001560D6"/>
    <w:rsid w:val="00156CB8"/>
    <w:rsid w:val="0016387D"/>
    <w:rsid w:val="00166287"/>
    <w:rsid w:val="0018466A"/>
    <w:rsid w:val="00190198"/>
    <w:rsid w:val="001A2341"/>
    <w:rsid w:val="001B4178"/>
    <w:rsid w:val="001C7A91"/>
    <w:rsid w:val="001D17B9"/>
    <w:rsid w:val="001D5D20"/>
    <w:rsid w:val="001E0714"/>
    <w:rsid w:val="001E622A"/>
    <w:rsid w:val="001F3FB5"/>
    <w:rsid w:val="001F47E8"/>
    <w:rsid w:val="0021326B"/>
    <w:rsid w:val="00215B90"/>
    <w:rsid w:val="0022203E"/>
    <w:rsid w:val="00232E0E"/>
    <w:rsid w:val="00237A16"/>
    <w:rsid w:val="00247789"/>
    <w:rsid w:val="00254CFC"/>
    <w:rsid w:val="00261F94"/>
    <w:rsid w:val="0026281A"/>
    <w:rsid w:val="002635DB"/>
    <w:rsid w:val="0026476F"/>
    <w:rsid w:val="00291F78"/>
    <w:rsid w:val="00297E64"/>
    <w:rsid w:val="002B00CE"/>
    <w:rsid w:val="002B1DEC"/>
    <w:rsid w:val="002B5685"/>
    <w:rsid w:val="002C0FBA"/>
    <w:rsid w:val="002C3BFD"/>
    <w:rsid w:val="002D7C24"/>
    <w:rsid w:val="002D7E73"/>
    <w:rsid w:val="002E05C6"/>
    <w:rsid w:val="002E22CF"/>
    <w:rsid w:val="002E2380"/>
    <w:rsid w:val="002E4870"/>
    <w:rsid w:val="002E49CF"/>
    <w:rsid w:val="002E55F9"/>
    <w:rsid w:val="002F4D6B"/>
    <w:rsid w:val="002F5035"/>
    <w:rsid w:val="002F771D"/>
    <w:rsid w:val="00301BEC"/>
    <w:rsid w:val="0030443C"/>
    <w:rsid w:val="00306291"/>
    <w:rsid w:val="003079DB"/>
    <w:rsid w:val="00311E33"/>
    <w:rsid w:val="003121E0"/>
    <w:rsid w:val="003159BC"/>
    <w:rsid w:val="003249FD"/>
    <w:rsid w:val="00330F41"/>
    <w:rsid w:val="00334CFA"/>
    <w:rsid w:val="00335E84"/>
    <w:rsid w:val="00356232"/>
    <w:rsid w:val="00357869"/>
    <w:rsid w:val="00361FB8"/>
    <w:rsid w:val="00372A88"/>
    <w:rsid w:val="00375D00"/>
    <w:rsid w:val="003762B5"/>
    <w:rsid w:val="00385694"/>
    <w:rsid w:val="00387172"/>
    <w:rsid w:val="0039685B"/>
    <w:rsid w:val="003A4904"/>
    <w:rsid w:val="003B0B86"/>
    <w:rsid w:val="003B43C1"/>
    <w:rsid w:val="003B7EB0"/>
    <w:rsid w:val="003C57CD"/>
    <w:rsid w:val="003D28E5"/>
    <w:rsid w:val="0040086D"/>
    <w:rsid w:val="004067AC"/>
    <w:rsid w:val="00410499"/>
    <w:rsid w:val="00411DBD"/>
    <w:rsid w:val="004128C2"/>
    <w:rsid w:val="004166EF"/>
    <w:rsid w:val="00422327"/>
    <w:rsid w:val="004348F6"/>
    <w:rsid w:val="0044431A"/>
    <w:rsid w:val="00453F1B"/>
    <w:rsid w:val="00455678"/>
    <w:rsid w:val="00456CE6"/>
    <w:rsid w:val="004603E6"/>
    <w:rsid w:val="0046310F"/>
    <w:rsid w:val="0046633C"/>
    <w:rsid w:val="0047371A"/>
    <w:rsid w:val="004738A7"/>
    <w:rsid w:val="004774A4"/>
    <w:rsid w:val="00481581"/>
    <w:rsid w:val="00483F07"/>
    <w:rsid w:val="004859CA"/>
    <w:rsid w:val="00490634"/>
    <w:rsid w:val="00494F71"/>
    <w:rsid w:val="004A1E3C"/>
    <w:rsid w:val="004A5EDB"/>
    <w:rsid w:val="004B37FB"/>
    <w:rsid w:val="004B6F8B"/>
    <w:rsid w:val="004D6160"/>
    <w:rsid w:val="004D6B68"/>
    <w:rsid w:val="004E18F2"/>
    <w:rsid w:val="004F3332"/>
    <w:rsid w:val="004F552C"/>
    <w:rsid w:val="004F5D65"/>
    <w:rsid w:val="004F7887"/>
    <w:rsid w:val="005009EE"/>
    <w:rsid w:val="0050270B"/>
    <w:rsid w:val="00512092"/>
    <w:rsid w:val="00522387"/>
    <w:rsid w:val="00523C9E"/>
    <w:rsid w:val="00533DCA"/>
    <w:rsid w:val="00535F3F"/>
    <w:rsid w:val="0054228D"/>
    <w:rsid w:val="00544DC2"/>
    <w:rsid w:val="005645D1"/>
    <w:rsid w:val="0056738A"/>
    <w:rsid w:val="00567931"/>
    <w:rsid w:val="00571296"/>
    <w:rsid w:val="00572A3B"/>
    <w:rsid w:val="005753DC"/>
    <w:rsid w:val="00576DD2"/>
    <w:rsid w:val="00584CA5"/>
    <w:rsid w:val="005910B4"/>
    <w:rsid w:val="00591AA6"/>
    <w:rsid w:val="005953F8"/>
    <w:rsid w:val="00595B5F"/>
    <w:rsid w:val="00596A07"/>
    <w:rsid w:val="005A4AF6"/>
    <w:rsid w:val="005A5B18"/>
    <w:rsid w:val="005A6D80"/>
    <w:rsid w:val="005B33A1"/>
    <w:rsid w:val="005B6B3B"/>
    <w:rsid w:val="005C237C"/>
    <w:rsid w:val="005C27CB"/>
    <w:rsid w:val="005D1582"/>
    <w:rsid w:val="005D529F"/>
    <w:rsid w:val="005D79E7"/>
    <w:rsid w:val="005E7C17"/>
    <w:rsid w:val="005E7C43"/>
    <w:rsid w:val="006010FD"/>
    <w:rsid w:val="00603883"/>
    <w:rsid w:val="00626D0F"/>
    <w:rsid w:val="00626F34"/>
    <w:rsid w:val="0063349D"/>
    <w:rsid w:val="0063493A"/>
    <w:rsid w:val="006401B3"/>
    <w:rsid w:val="00641069"/>
    <w:rsid w:val="00641B67"/>
    <w:rsid w:val="00644CA7"/>
    <w:rsid w:val="00650742"/>
    <w:rsid w:val="00653592"/>
    <w:rsid w:val="006600A8"/>
    <w:rsid w:val="00666FC7"/>
    <w:rsid w:val="0067125D"/>
    <w:rsid w:val="00672636"/>
    <w:rsid w:val="00686690"/>
    <w:rsid w:val="006905A9"/>
    <w:rsid w:val="006978BF"/>
    <w:rsid w:val="006A0BF7"/>
    <w:rsid w:val="006A1795"/>
    <w:rsid w:val="006A2852"/>
    <w:rsid w:val="006A333D"/>
    <w:rsid w:val="006A699D"/>
    <w:rsid w:val="006B04B6"/>
    <w:rsid w:val="006B5C74"/>
    <w:rsid w:val="006B5F71"/>
    <w:rsid w:val="006D1984"/>
    <w:rsid w:val="006D2144"/>
    <w:rsid w:val="006D7447"/>
    <w:rsid w:val="006E4C4C"/>
    <w:rsid w:val="006F5B84"/>
    <w:rsid w:val="00743D89"/>
    <w:rsid w:val="00753577"/>
    <w:rsid w:val="007552F9"/>
    <w:rsid w:val="00763A6A"/>
    <w:rsid w:val="00765EB6"/>
    <w:rsid w:val="0077038D"/>
    <w:rsid w:val="0077577F"/>
    <w:rsid w:val="00776339"/>
    <w:rsid w:val="00776DB4"/>
    <w:rsid w:val="00783D35"/>
    <w:rsid w:val="007B0502"/>
    <w:rsid w:val="007C03E4"/>
    <w:rsid w:val="007C27FF"/>
    <w:rsid w:val="007C5C51"/>
    <w:rsid w:val="007C7AEB"/>
    <w:rsid w:val="007D653D"/>
    <w:rsid w:val="007E1479"/>
    <w:rsid w:val="007E422D"/>
    <w:rsid w:val="007F1BE3"/>
    <w:rsid w:val="00800C85"/>
    <w:rsid w:val="00804286"/>
    <w:rsid w:val="00805A6C"/>
    <w:rsid w:val="00811D21"/>
    <w:rsid w:val="00812446"/>
    <w:rsid w:val="0081434C"/>
    <w:rsid w:val="008151CE"/>
    <w:rsid w:val="00815F08"/>
    <w:rsid w:val="00815FA9"/>
    <w:rsid w:val="0081657A"/>
    <w:rsid w:val="00827F51"/>
    <w:rsid w:val="0083414C"/>
    <w:rsid w:val="0083540F"/>
    <w:rsid w:val="00835E87"/>
    <w:rsid w:val="008365F3"/>
    <w:rsid w:val="00843237"/>
    <w:rsid w:val="00846E92"/>
    <w:rsid w:val="00847100"/>
    <w:rsid w:val="008532C9"/>
    <w:rsid w:val="00861AB5"/>
    <w:rsid w:val="0086368F"/>
    <w:rsid w:val="00865101"/>
    <w:rsid w:val="00865156"/>
    <w:rsid w:val="00872CA8"/>
    <w:rsid w:val="00873791"/>
    <w:rsid w:val="00874B2B"/>
    <w:rsid w:val="00875918"/>
    <w:rsid w:val="008855DB"/>
    <w:rsid w:val="00887285"/>
    <w:rsid w:val="008A0B01"/>
    <w:rsid w:val="008B69BB"/>
    <w:rsid w:val="008C02FD"/>
    <w:rsid w:val="008D1CD5"/>
    <w:rsid w:val="008D2DB6"/>
    <w:rsid w:val="008D54BE"/>
    <w:rsid w:val="008D6A09"/>
    <w:rsid w:val="008E2488"/>
    <w:rsid w:val="008F0821"/>
    <w:rsid w:val="009079AA"/>
    <w:rsid w:val="00915566"/>
    <w:rsid w:val="00924B64"/>
    <w:rsid w:val="00924E0A"/>
    <w:rsid w:val="00925F36"/>
    <w:rsid w:val="0093514B"/>
    <w:rsid w:val="00935E61"/>
    <w:rsid w:val="00954D5D"/>
    <w:rsid w:val="00966EDF"/>
    <w:rsid w:val="00974798"/>
    <w:rsid w:val="00975E73"/>
    <w:rsid w:val="00983E31"/>
    <w:rsid w:val="00987F1E"/>
    <w:rsid w:val="0099278F"/>
    <w:rsid w:val="009A1C85"/>
    <w:rsid w:val="009A1D7C"/>
    <w:rsid w:val="009A24C4"/>
    <w:rsid w:val="009A2814"/>
    <w:rsid w:val="009A7916"/>
    <w:rsid w:val="009A7FF9"/>
    <w:rsid w:val="009B670F"/>
    <w:rsid w:val="009C03CC"/>
    <w:rsid w:val="009C208A"/>
    <w:rsid w:val="009C45B4"/>
    <w:rsid w:val="009C7F38"/>
    <w:rsid w:val="009D046F"/>
    <w:rsid w:val="009D2850"/>
    <w:rsid w:val="009D5F06"/>
    <w:rsid w:val="009E1A57"/>
    <w:rsid w:val="009E6344"/>
    <w:rsid w:val="00A03D4E"/>
    <w:rsid w:val="00A10464"/>
    <w:rsid w:val="00A11ADA"/>
    <w:rsid w:val="00A150B2"/>
    <w:rsid w:val="00A246A3"/>
    <w:rsid w:val="00A3100D"/>
    <w:rsid w:val="00A31DD1"/>
    <w:rsid w:val="00A37D8D"/>
    <w:rsid w:val="00A45459"/>
    <w:rsid w:val="00A46475"/>
    <w:rsid w:val="00A46BBB"/>
    <w:rsid w:val="00A47530"/>
    <w:rsid w:val="00A54A83"/>
    <w:rsid w:val="00A60144"/>
    <w:rsid w:val="00A62FE7"/>
    <w:rsid w:val="00A65049"/>
    <w:rsid w:val="00A655B0"/>
    <w:rsid w:val="00A7106A"/>
    <w:rsid w:val="00A7153D"/>
    <w:rsid w:val="00A95AFD"/>
    <w:rsid w:val="00AA4D2C"/>
    <w:rsid w:val="00AA69EE"/>
    <w:rsid w:val="00AA717C"/>
    <w:rsid w:val="00AA7BB1"/>
    <w:rsid w:val="00AB1A6D"/>
    <w:rsid w:val="00AB7290"/>
    <w:rsid w:val="00AC2365"/>
    <w:rsid w:val="00AD474F"/>
    <w:rsid w:val="00AE0591"/>
    <w:rsid w:val="00AE45BD"/>
    <w:rsid w:val="00AE5129"/>
    <w:rsid w:val="00AF1389"/>
    <w:rsid w:val="00AF7114"/>
    <w:rsid w:val="00AF7C40"/>
    <w:rsid w:val="00B06578"/>
    <w:rsid w:val="00B07829"/>
    <w:rsid w:val="00B10493"/>
    <w:rsid w:val="00B11C40"/>
    <w:rsid w:val="00B12022"/>
    <w:rsid w:val="00B225E8"/>
    <w:rsid w:val="00B23F73"/>
    <w:rsid w:val="00B267A6"/>
    <w:rsid w:val="00B2682C"/>
    <w:rsid w:val="00B27FCD"/>
    <w:rsid w:val="00B447E5"/>
    <w:rsid w:val="00B60FCA"/>
    <w:rsid w:val="00B67960"/>
    <w:rsid w:val="00B70A8F"/>
    <w:rsid w:val="00B81912"/>
    <w:rsid w:val="00B93F79"/>
    <w:rsid w:val="00B94731"/>
    <w:rsid w:val="00BA0D63"/>
    <w:rsid w:val="00BA1FB8"/>
    <w:rsid w:val="00BA714B"/>
    <w:rsid w:val="00BB1171"/>
    <w:rsid w:val="00BB24E7"/>
    <w:rsid w:val="00BC0D5C"/>
    <w:rsid w:val="00BC79A9"/>
    <w:rsid w:val="00BD40D9"/>
    <w:rsid w:val="00BD4364"/>
    <w:rsid w:val="00BD7E85"/>
    <w:rsid w:val="00BE2270"/>
    <w:rsid w:val="00BE3586"/>
    <w:rsid w:val="00BF3BAD"/>
    <w:rsid w:val="00C1257B"/>
    <w:rsid w:val="00C128F5"/>
    <w:rsid w:val="00C166C4"/>
    <w:rsid w:val="00C16E76"/>
    <w:rsid w:val="00C23186"/>
    <w:rsid w:val="00C23540"/>
    <w:rsid w:val="00C23A85"/>
    <w:rsid w:val="00C23FCE"/>
    <w:rsid w:val="00C251B4"/>
    <w:rsid w:val="00C35D85"/>
    <w:rsid w:val="00C80536"/>
    <w:rsid w:val="00C818F7"/>
    <w:rsid w:val="00C854D9"/>
    <w:rsid w:val="00C86A25"/>
    <w:rsid w:val="00C86F8A"/>
    <w:rsid w:val="00CA06F6"/>
    <w:rsid w:val="00CA317C"/>
    <w:rsid w:val="00CA4119"/>
    <w:rsid w:val="00CA7466"/>
    <w:rsid w:val="00CB5245"/>
    <w:rsid w:val="00CC114B"/>
    <w:rsid w:val="00CC1F6D"/>
    <w:rsid w:val="00CC364A"/>
    <w:rsid w:val="00CC638E"/>
    <w:rsid w:val="00CE0A37"/>
    <w:rsid w:val="00CE3CE8"/>
    <w:rsid w:val="00CF4371"/>
    <w:rsid w:val="00D01110"/>
    <w:rsid w:val="00D07969"/>
    <w:rsid w:val="00D11A94"/>
    <w:rsid w:val="00D1545E"/>
    <w:rsid w:val="00D407B6"/>
    <w:rsid w:val="00D511BF"/>
    <w:rsid w:val="00D51DD2"/>
    <w:rsid w:val="00D64C1E"/>
    <w:rsid w:val="00D65569"/>
    <w:rsid w:val="00D728D2"/>
    <w:rsid w:val="00D96535"/>
    <w:rsid w:val="00DA009E"/>
    <w:rsid w:val="00DA7B36"/>
    <w:rsid w:val="00DB398C"/>
    <w:rsid w:val="00DB699D"/>
    <w:rsid w:val="00DC0C9C"/>
    <w:rsid w:val="00DC1F3B"/>
    <w:rsid w:val="00DC62C6"/>
    <w:rsid w:val="00DD2FBF"/>
    <w:rsid w:val="00DD4D7B"/>
    <w:rsid w:val="00DD5BBB"/>
    <w:rsid w:val="00DE290C"/>
    <w:rsid w:val="00DE7820"/>
    <w:rsid w:val="00DE7B4D"/>
    <w:rsid w:val="00DF761B"/>
    <w:rsid w:val="00DF7931"/>
    <w:rsid w:val="00E05E95"/>
    <w:rsid w:val="00E23638"/>
    <w:rsid w:val="00E257D9"/>
    <w:rsid w:val="00E32255"/>
    <w:rsid w:val="00E45006"/>
    <w:rsid w:val="00E533AF"/>
    <w:rsid w:val="00E54F19"/>
    <w:rsid w:val="00E577B5"/>
    <w:rsid w:val="00E6242E"/>
    <w:rsid w:val="00E64C21"/>
    <w:rsid w:val="00E70C34"/>
    <w:rsid w:val="00E71475"/>
    <w:rsid w:val="00E7554C"/>
    <w:rsid w:val="00EA0B93"/>
    <w:rsid w:val="00EA5AF5"/>
    <w:rsid w:val="00EB2A7D"/>
    <w:rsid w:val="00EC44DE"/>
    <w:rsid w:val="00ED1412"/>
    <w:rsid w:val="00ED68B0"/>
    <w:rsid w:val="00ED7263"/>
    <w:rsid w:val="00EE4AAB"/>
    <w:rsid w:val="00EF4280"/>
    <w:rsid w:val="00F10C4E"/>
    <w:rsid w:val="00F12799"/>
    <w:rsid w:val="00F12DA0"/>
    <w:rsid w:val="00F14A52"/>
    <w:rsid w:val="00F33B25"/>
    <w:rsid w:val="00F352F8"/>
    <w:rsid w:val="00F35D8B"/>
    <w:rsid w:val="00F364D3"/>
    <w:rsid w:val="00F37EA2"/>
    <w:rsid w:val="00F458C5"/>
    <w:rsid w:val="00F47B85"/>
    <w:rsid w:val="00F63085"/>
    <w:rsid w:val="00F634B9"/>
    <w:rsid w:val="00F87900"/>
    <w:rsid w:val="00F9011C"/>
    <w:rsid w:val="00F94109"/>
    <w:rsid w:val="00FA0648"/>
    <w:rsid w:val="00FA60A6"/>
    <w:rsid w:val="00FB1AEC"/>
    <w:rsid w:val="00FB7421"/>
    <w:rsid w:val="00FC0B7F"/>
    <w:rsid w:val="00FC6FF3"/>
    <w:rsid w:val="00FD1583"/>
    <w:rsid w:val="00FF299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ru v:ext="edit" colors="#83d4e5"/>
    </o:shapedefaults>
    <o:shapelayout v:ext="edit">
      <o:idmap v:ext="edit" data="1"/>
    </o:shapelayout>
  </w:shapeDefaults>
  <w:decimalSymbol w:val=","/>
  <w:listSeparator w:val=";"/>
  <w14:docId w14:val="684D97E1"/>
  <w14:defaultImageDpi w14:val="300"/>
  <w15:docId w15:val="{B82D0330-2D1D-467E-8DD8-E3AE2BCD1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uerpo EB"/>
    <w:qFormat/>
    <w:rsid w:val="0083540F"/>
    <w:pPr>
      <w:spacing w:after="160" w:line="300" w:lineRule="exact"/>
      <w:jc w:val="both"/>
    </w:pPr>
    <w:rPr>
      <w:rFonts w:ascii="Georgia" w:hAnsi="Georgia"/>
      <w:sz w:val="21"/>
      <w:szCs w:val="21"/>
    </w:rPr>
  </w:style>
  <w:style w:type="paragraph" w:styleId="Ttulo1">
    <w:name w:val="heading 1"/>
    <w:aliases w:val="Tít Capitulo EB"/>
    <w:basedOn w:val="Normal"/>
    <w:next w:val="Normal"/>
    <w:link w:val="Ttulo1Car"/>
    <w:uiPriority w:val="9"/>
    <w:qFormat/>
    <w:rsid w:val="000E4576"/>
    <w:pPr>
      <w:keepNext/>
      <w:keepLines/>
      <w:spacing w:before="400" w:after="800" w:line="240" w:lineRule="auto"/>
      <w:outlineLvl w:val="0"/>
    </w:pPr>
    <w:rPr>
      <w:rFonts w:eastAsiaTheme="majorEastAsia" w:cstheme="majorBidi"/>
      <w:bCs/>
      <w:color w:val="365F91" w:themeColor="accent1" w:themeShade="BF"/>
      <w:sz w:val="44"/>
      <w:szCs w:val="32"/>
    </w:rPr>
  </w:style>
  <w:style w:type="paragraph" w:styleId="Ttulo2">
    <w:name w:val="heading 2"/>
    <w:aliases w:val="Epígrafe EB"/>
    <w:basedOn w:val="Normal"/>
    <w:next w:val="Normal"/>
    <w:link w:val="Ttulo2Car"/>
    <w:uiPriority w:val="9"/>
    <w:unhideWhenUsed/>
    <w:qFormat/>
    <w:rsid w:val="00E05E95"/>
    <w:pPr>
      <w:keepNext/>
      <w:keepLines/>
      <w:spacing w:before="800" w:after="240" w:line="240" w:lineRule="auto"/>
      <w:jc w:val="left"/>
      <w:outlineLvl w:val="1"/>
    </w:pPr>
    <w:rPr>
      <w:rFonts w:eastAsiaTheme="majorEastAsia" w:cstheme="majorBidi"/>
      <w:b/>
      <w:bCs/>
      <w:color w:val="365F91" w:themeColor="accent1" w:themeShade="BF"/>
      <w:sz w:val="26"/>
      <w:szCs w:val="26"/>
    </w:rPr>
  </w:style>
  <w:style w:type="paragraph" w:styleId="Ttulo3">
    <w:name w:val="heading 3"/>
    <w:aliases w:val="Subepígrafe EB"/>
    <w:basedOn w:val="Normal"/>
    <w:next w:val="Normal"/>
    <w:link w:val="Ttulo3Car"/>
    <w:uiPriority w:val="9"/>
    <w:unhideWhenUsed/>
    <w:qFormat/>
    <w:rsid w:val="00FC6FF3"/>
    <w:pPr>
      <w:keepNext/>
      <w:keepLines/>
      <w:spacing w:before="400" w:after="240"/>
      <w:outlineLvl w:val="2"/>
    </w:pPr>
    <w:rPr>
      <w:rFonts w:eastAsiaTheme="majorEastAsia" w:cstheme="majorBidi"/>
      <w:bCs/>
      <w:i/>
      <w:color w:val="4F81BD" w:themeColor="accent1"/>
      <w:sz w:val="24"/>
    </w:rPr>
  </w:style>
  <w:style w:type="paragraph" w:styleId="Ttulo4">
    <w:name w:val="heading 4"/>
    <w:aliases w:val="TÍTULO EB"/>
    <w:basedOn w:val="Normal"/>
    <w:next w:val="Normal"/>
    <w:link w:val="Ttulo4Car"/>
    <w:uiPriority w:val="9"/>
    <w:unhideWhenUsed/>
    <w:qFormat/>
    <w:rsid w:val="00BD4364"/>
    <w:pPr>
      <w:keepNext/>
      <w:keepLines/>
      <w:spacing w:before="200" w:after="0" w:line="240" w:lineRule="auto"/>
      <w:outlineLvl w:val="3"/>
    </w:pPr>
    <w:rPr>
      <w:rFonts w:eastAsiaTheme="majorEastAsia" w:cstheme="majorBidi"/>
      <w:b/>
      <w:bCs/>
      <w:i/>
      <w:iCs/>
      <w:color w:val="1F497D" w:themeColor="text2"/>
      <w:sz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D5190"/>
    <w:pPr>
      <w:ind w:left="720"/>
      <w:contextualSpacing/>
    </w:pPr>
  </w:style>
  <w:style w:type="paragraph" w:styleId="Piedepgina">
    <w:name w:val="footer"/>
    <w:basedOn w:val="Normal"/>
    <w:link w:val="PiedepginaCar"/>
    <w:uiPriority w:val="99"/>
    <w:unhideWhenUsed/>
    <w:rsid w:val="006B04B6"/>
    <w:pPr>
      <w:tabs>
        <w:tab w:val="center" w:pos="4252"/>
        <w:tab w:val="right" w:pos="8504"/>
      </w:tabs>
    </w:pPr>
  </w:style>
  <w:style w:type="character" w:customStyle="1" w:styleId="PiedepginaCar">
    <w:name w:val="Pie de página Car"/>
    <w:basedOn w:val="Fuentedeprrafopredeter"/>
    <w:link w:val="Piedepgina"/>
    <w:uiPriority w:val="99"/>
    <w:rsid w:val="006B04B6"/>
  </w:style>
  <w:style w:type="character" w:styleId="Nmerodepgina">
    <w:name w:val="page number"/>
    <w:basedOn w:val="Fuentedeprrafopredeter"/>
    <w:uiPriority w:val="99"/>
    <w:semiHidden/>
    <w:unhideWhenUsed/>
    <w:rsid w:val="006B04B6"/>
  </w:style>
  <w:style w:type="character" w:styleId="Refdecomentario">
    <w:name w:val="annotation reference"/>
    <w:basedOn w:val="Fuentedeprrafopredeter"/>
    <w:uiPriority w:val="99"/>
    <w:semiHidden/>
    <w:unhideWhenUsed/>
    <w:rsid w:val="00C80536"/>
    <w:rPr>
      <w:sz w:val="18"/>
      <w:szCs w:val="18"/>
    </w:rPr>
  </w:style>
  <w:style w:type="paragraph" w:styleId="Textocomentario">
    <w:name w:val="annotation text"/>
    <w:basedOn w:val="Normal"/>
    <w:link w:val="TextocomentarioCar"/>
    <w:uiPriority w:val="99"/>
    <w:semiHidden/>
    <w:unhideWhenUsed/>
    <w:rsid w:val="00C80536"/>
  </w:style>
  <w:style w:type="character" w:customStyle="1" w:styleId="TextocomentarioCar">
    <w:name w:val="Texto comentario Car"/>
    <w:basedOn w:val="Fuentedeprrafopredeter"/>
    <w:link w:val="Textocomentario"/>
    <w:uiPriority w:val="99"/>
    <w:semiHidden/>
    <w:rsid w:val="00C80536"/>
  </w:style>
  <w:style w:type="paragraph" w:styleId="Asuntodelcomentario">
    <w:name w:val="annotation subject"/>
    <w:basedOn w:val="Textocomentario"/>
    <w:next w:val="Textocomentario"/>
    <w:link w:val="AsuntodelcomentarioCar"/>
    <w:uiPriority w:val="99"/>
    <w:semiHidden/>
    <w:unhideWhenUsed/>
    <w:rsid w:val="00C80536"/>
    <w:rPr>
      <w:b/>
      <w:bCs/>
      <w:sz w:val="20"/>
      <w:szCs w:val="20"/>
    </w:rPr>
  </w:style>
  <w:style w:type="character" w:customStyle="1" w:styleId="AsuntodelcomentarioCar">
    <w:name w:val="Asunto del comentario Car"/>
    <w:basedOn w:val="TextocomentarioCar"/>
    <w:link w:val="Asuntodelcomentario"/>
    <w:uiPriority w:val="99"/>
    <w:semiHidden/>
    <w:rsid w:val="00C80536"/>
    <w:rPr>
      <w:b/>
      <w:bCs/>
      <w:sz w:val="20"/>
      <w:szCs w:val="20"/>
    </w:rPr>
  </w:style>
  <w:style w:type="paragraph" w:styleId="Textodeglobo">
    <w:name w:val="Balloon Text"/>
    <w:basedOn w:val="Normal"/>
    <w:link w:val="TextodegloboCar"/>
    <w:uiPriority w:val="99"/>
    <w:semiHidden/>
    <w:unhideWhenUsed/>
    <w:rsid w:val="00C80536"/>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C80536"/>
    <w:rPr>
      <w:rFonts w:ascii="Lucida Grande" w:hAnsi="Lucida Grande"/>
      <w:sz w:val="18"/>
      <w:szCs w:val="18"/>
    </w:rPr>
  </w:style>
  <w:style w:type="paragraph" w:styleId="ndice1">
    <w:name w:val="index 1"/>
    <w:basedOn w:val="Normal"/>
    <w:next w:val="Normal"/>
    <w:autoRedefine/>
    <w:uiPriority w:val="99"/>
    <w:unhideWhenUsed/>
    <w:rsid w:val="0006220B"/>
    <w:pPr>
      <w:ind w:left="240" w:hanging="240"/>
    </w:pPr>
    <w:rPr>
      <w:sz w:val="20"/>
      <w:szCs w:val="20"/>
    </w:rPr>
  </w:style>
  <w:style w:type="paragraph" w:styleId="ndice2">
    <w:name w:val="index 2"/>
    <w:basedOn w:val="Normal"/>
    <w:next w:val="Normal"/>
    <w:autoRedefine/>
    <w:uiPriority w:val="99"/>
    <w:unhideWhenUsed/>
    <w:rsid w:val="0006220B"/>
    <w:pPr>
      <w:ind w:left="480" w:hanging="240"/>
    </w:pPr>
    <w:rPr>
      <w:sz w:val="20"/>
      <w:szCs w:val="20"/>
    </w:rPr>
  </w:style>
  <w:style w:type="paragraph" w:styleId="ndice3">
    <w:name w:val="index 3"/>
    <w:basedOn w:val="Normal"/>
    <w:next w:val="Normal"/>
    <w:autoRedefine/>
    <w:uiPriority w:val="99"/>
    <w:unhideWhenUsed/>
    <w:rsid w:val="0006220B"/>
    <w:pPr>
      <w:ind w:left="720" w:hanging="240"/>
    </w:pPr>
    <w:rPr>
      <w:sz w:val="20"/>
      <w:szCs w:val="20"/>
    </w:rPr>
  </w:style>
  <w:style w:type="paragraph" w:styleId="ndice4">
    <w:name w:val="index 4"/>
    <w:basedOn w:val="Normal"/>
    <w:next w:val="Normal"/>
    <w:autoRedefine/>
    <w:uiPriority w:val="99"/>
    <w:unhideWhenUsed/>
    <w:rsid w:val="0006220B"/>
    <w:pPr>
      <w:ind w:left="960" w:hanging="240"/>
    </w:pPr>
    <w:rPr>
      <w:sz w:val="20"/>
      <w:szCs w:val="20"/>
    </w:rPr>
  </w:style>
  <w:style w:type="paragraph" w:styleId="ndice5">
    <w:name w:val="index 5"/>
    <w:basedOn w:val="Normal"/>
    <w:next w:val="Normal"/>
    <w:autoRedefine/>
    <w:uiPriority w:val="99"/>
    <w:unhideWhenUsed/>
    <w:rsid w:val="0006220B"/>
    <w:pPr>
      <w:ind w:left="1200" w:hanging="240"/>
    </w:pPr>
    <w:rPr>
      <w:sz w:val="20"/>
      <w:szCs w:val="20"/>
    </w:rPr>
  </w:style>
  <w:style w:type="paragraph" w:styleId="ndice6">
    <w:name w:val="index 6"/>
    <w:basedOn w:val="Normal"/>
    <w:next w:val="Normal"/>
    <w:autoRedefine/>
    <w:uiPriority w:val="99"/>
    <w:unhideWhenUsed/>
    <w:rsid w:val="0006220B"/>
    <w:pPr>
      <w:ind w:left="1440" w:hanging="240"/>
    </w:pPr>
    <w:rPr>
      <w:sz w:val="20"/>
      <w:szCs w:val="20"/>
    </w:rPr>
  </w:style>
  <w:style w:type="paragraph" w:styleId="ndice7">
    <w:name w:val="index 7"/>
    <w:basedOn w:val="Normal"/>
    <w:next w:val="Normal"/>
    <w:autoRedefine/>
    <w:uiPriority w:val="99"/>
    <w:unhideWhenUsed/>
    <w:rsid w:val="0006220B"/>
    <w:pPr>
      <w:ind w:left="1680" w:hanging="240"/>
    </w:pPr>
    <w:rPr>
      <w:sz w:val="20"/>
      <w:szCs w:val="20"/>
    </w:rPr>
  </w:style>
  <w:style w:type="paragraph" w:styleId="ndice8">
    <w:name w:val="index 8"/>
    <w:basedOn w:val="Normal"/>
    <w:next w:val="Normal"/>
    <w:autoRedefine/>
    <w:uiPriority w:val="99"/>
    <w:unhideWhenUsed/>
    <w:rsid w:val="0006220B"/>
    <w:pPr>
      <w:ind w:left="1920" w:hanging="240"/>
    </w:pPr>
    <w:rPr>
      <w:sz w:val="20"/>
      <w:szCs w:val="20"/>
    </w:rPr>
  </w:style>
  <w:style w:type="paragraph" w:styleId="ndice9">
    <w:name w:val="index 9"/>
    <w:basedOn w:val="Normal"/>
    <w:next w:val="Normal"/>
    <w:autoRedefine/>
    <w:uiPriority w:val="99"/>
    <w:unhideWhenUsed/>
    <w:rsid w:val="0006220B"/>
    <w:pPr>
      <w:ind w:left="2160" w:hanging="240"/>
    </w:pPr>
    <w:rPr>
      <w:sz w:val="20"/>
      <w:szCs w:val="20"/>
    </w:rPr>
  </w:style>
  <w:style w:type="paragraph" w:styleId="Ttulodendice">
    <w:name w:val="index heading"/>
    <w:basedOn w:val="Normal"/>
    <w:next w:val="ndice1"/>
    <w:uiPriority w:val="99"/>
    <w:unhideWhenUsed/>
    <w:rsid w:val="0006220B"/>
    <w:pPr>
      <w:spacing w:before="120" w:after="120"/>
    </w:pPr>
    <w:rPr>
      <w:i/>
      <w:sz w:val="20"/>
      <w:szCs w:val="20"/>
    </w:rPr>
  </w:style>
  <w:style w:type="paragraph" w:styleId="TDC1">
    <w:name w:val="toc 1"/>
    <w:basedOn w:val="Normal"/>
    <w:next w:val="Normal"/>
    <w:autoRedefine/>
    <w:uiPriority w:val="39"/>
    <w:unhideWhenUsed/>
    <w:rsid w:val="00F12DA0"/>
    <w:pPr>
      <w:spacing w:before="120" w:after="0" w:line="360" w:lineRule="auto"/>
      <w:jc w:val="left"/>
    </w:pPr>
    <w:rPr>
      <w:b/>
      <w:i/>
      <w:color w:val="548DD4"/>
      <w:sz w:val="22"/>
      <w:szCs w:val="24"/>
    </w:rPr>
  </w:style>
  <w:style w:type="paragraph" w:styleId="TDC2">
    <w:name w:val="toc 2"/>
    <w:basedOn w:val="Normal"/>
    <w:next w:val="Normal"/>
    <w:autoRedefine/>
    <w:uiPriority w:val="39"/>
    <w:unhideWhenUsed/>
    <w:rsid w:val="0006220B"/>
    <w:pPr>
      <w:spacing w:after="0"/>
      <w:jc w:val="left"/>
    </w:pPr>
    <w:rPr>
      <w:rFonts w:asciiTheme="minorHAnsi" w:hAnsiTheme="minorHAnsi"/>
      <w:sz w:val="22"/>
      <w:szCs w:val="22"/>
    </w:rPr>
  </w:style>
  <w:style w:type="paragraph" w:styleId="TDC3">
    <w:name w:val="toc 3"/>
    <w:basedOn w:val="Normal"/>
    <w:next w:val="Normal"/>
    <w:autoRedefine/>
    <w:uiPriority w:val="39"/>
    <w:unhideWhenUsed/>
    <w:rsid w:val="0006220B"/>
    <w:pPr>
      <w:spacing w:after="0"/>
      <w:ind w:left="210"/>
      <w:jc w:val="left"/>
    </w:pPr>
    <w:rPr>
      <w:rFonts w:asciiTheme="minorHAnsi" w:hAnsiTheme="minorHAnsi"/>
      <w:i/>
      <w:sz w:val="22"/>
      <w:szCs w:val="22"/>
    </w:rPr>
  </w:style>
  <w:style w:type="paragraph" w:styleId="TDC4">
    <w:name w:val="toc 4"/>
    <w:basedOn w:val="Normal"/>
    <w:next w:val="Normal"/>
    <w:autoRedefine/>
    <w:uiPriority w:val="39"/>
    <w:unhideWhenUsed/>
    <w:rsid w:val="0006220B"/>
    <w:pPr>
      <w:pBdr>
        <w:between w:val="double" w:sz="6" w:space="0" w:color="auto"/>
      </w:pBdr>
      <w:spacing w:after="0"/>
      <w:ind w:left="420"/>
      <w:jc w:val="left"/>
    </w:pPr>
    <w:rPr>
      <w:rFonts w:asciiTheme="minorHAnsi" w:hAnsiTheme="minorHAnsi"/>
      <w:sz w:val="20"/>
      <w:szCs w:val="20"/>
    </w:rPr>
  </w:style>
  <w:style w:type="paragraph" w:styleId="TDC5">
    <w:name w:val="toc 5"/>
    <w:basedOn w:val="Normal"/>
    <w:next w:val="Normal"/>
    <w:autoRedefine/>
    <w:uiPriority w:val="39"/>
    <w:unhideWhenUsed/>
    <w:rsid w:val="0006220B"/>
    <w:pPr>
      <w:pBdr>
        <w:between w:val="double" w:sz="6" w:space="0" w:color="auto"/>
      </w:pBdr>
      <w:spacing w:after="0"/>
      <w:ind w:left="630"/>
      <w:jc w:val="left"/>
    </w:pPr>
    <w:rPr>
      <w:rFonts w:asciiTheme="minorHAnsi" w:hAnsiTheme="minorHAnsi"/>
      <w:sz w:val="20"/>
      <w:szCs w:val="20"/>
    </w:rPr>
  </w:style>
  <w:style w:type="paragraph" w:styleId="TDC6">
    <w:name w:val="toc 6"/>
    <w:basedOn w:val="Normal"/>
    <w:next w:val="Normal"/>
    <w:autoRedefine/>
    <w:uiPriority w:val="39"/>
    <w:unhideWhenUsed/>
    <w:rsid w:val="0006220B"/>
    <w:pPr>
      <w:pBdr>
        <w:between w:val="double" w:sz="6" w:space="0" w:color="auto"/>
      </w:pBdr>
      <w:spacing w:after="0"/>
      <w:ind w:left="840"/>
      <w:jc w:val="left"/>
    </w:pPr>
    <w:rPr>
      <w:rFonts w:asciiTheme="minorHAnsi" w:hAnsiTheme="minorHAnsi"/>
      <w:sz w:val="20"/>
      <w:szCs w:val="20"/>
    </w:rPr>
  </w:style>
  <w:style w:type="paragraph" w:styleId="TDC7">
    <w:name w:val="toc 7"/>
    <w:basedOn w:val="Normal"/>
    <w:next w:val="Normal"/>
    <w:autoRedefine/>
    <w:uiPriority w:val="39"/>
    <w:unhideWhenUsed/>
    <w:rsid w:val="0006220B"/>
    <w:pPr>
      <w:pBdr>
        <w:between w:val="double" w:sz="6" w:space="0" w:color="auto"/>
      </w:pBdr>
      <w:spacing w:after="0"/>
      <w:ind w:left="1050"/>
      <w:jc w:val="left"/>
    </w:pPr>
    <w:rPr>
      <w:rFonts w:asciiTheme="minorHAnsi" w:hAnsiTheme="minorHAnsi"/>
      <w:sz w:val="20"/>
      <w:szCs w:val="20"/>
    </w:rPr>
  </w:style>
  <w:style w:type="paragraph" w:styleId="TDC8">
    <w:name w:val="toc 8"/>
    <w:basedOn w:val="Normal"/>
    <w:next w:val="Normal"/>
    <w:autoRedefine/>
    <w:uiPriority w:val="39"/>
    <w:unhideWhenUsed/>
    <w:rsid w:val="0006220B"/>
    <w:pPr>
      <w:pBdr>
        <w:between w:val="double" w:sz="6" w:space="0" w:color="auto"/>
      </w:pBdr>
      <w:spacing w:after="0"/>
      <w:ind w:left="1260"/>
      <w:jc w:val="left"/>
    </w:pPr>
    <w:rPr>
      <w:rFonts w:asciiTheme="minorHAnsi" w:hAnsiTheme="minorHAnsi"/>
      <w:sz w:val="20"/>
      <w:szCs w:val="20"/>
    </w:rPr>
  </w:style>
  <w:style w:type="paragraph" w:styleId="TDC9">
    <w:name w:val="toc 9"/>
    <w:basedOn w:val="Normal"/>
    <w:next w:val="Normal"/>
    <w:autoRedefine/>
    <w:uiPriority w:val="39"/>
    <w:unhideWhenUsed/>
    <w:rsid w:val="0006220B"/>
    <w:pPr>
      <w:pBdr>
        <w:between w:val="double" w:sz="6" w:space="0" w:color="auto"/>
      </w:pBdr>
      <w:spacing w:after="0"/>
      <w:ind w:left="1470"/>
      <w:jc w:val="left"/>
    </w:pPr>
    <w:rPr>
      <w:rFonts w:asciiTheme="minorHAnsi" w:hAnsiTheme="minorHAnsi"/>
      <w:sz w:val="20"/>
      <w:szCs w:val="20"/>
    </w:rPr>
  </w:style>
  <w:style w:type="paragraph" w:styleId="Revisin">
    <w:name w:val="Revision"/>
    <w:hidden/>
    <w:uiPriority w:val="99"/>
    <w:semiHidden/>
    <w:rsid w:val="00306291"/>
  </w:style>
  <w:style w:type="character" w:styleId="Hipervnculo">
    <w:name w:val="Hyperlink"/>
    <w:basedOn w:val="Fuentedeprrafopredeter"/>
    <w:unhideWhenUsed/>
    <w:rsid w:val="00306291"/>
    <w:rPr>
      <w:color w:val="0000FF" w:themeColor="hyperlink"/>
      <w:u w:val="single"/>
    </w:rPr>
  </w:style>
  <w:style w:type="paragraph" w:styleId="Textonotapie">
    <w:name w:val="footnote text"/>
    <w:basedOn w:val="Normal"/>
    <w:link w:val="TextonotapieCar"/>
    <w:uiPriority w:val="99"/>
    <w:unhideWhenUsed/>
    <w:rsid w:val="00306291"/>
  </w:style>
  <w:style w:type="character" w:customStyle="1" w:styleId="TextonotapieCar">
    <w:name w:val="Texto nota pie Car"/>
    <w:basedOn w:val="Fuentedeprrafopredeter"/>
    <w:link w:val="Textonotapie"/>
    <w:uiPriority w:val="99"/>
    <w:rsid w:val="00306291"/>
  </w:style>
  <w:style w:type="character" w:styleId="Refdenotaalpie">
    <w:name w:val="footnote reference"/>
    <w:basedOn w:val="Fuentedeprrafopredeter"/>
    <w:uiPriority w:val="99"/>
    <w:unhideWhenUsed/>
    <w:rsid w:val="00306291"/>
    <w:rPr>
      <w:vertAlign w:val="superscript"/>
    </w:rPr>
  </w:style>
  <w:style w:type="paragraph" w:styleId="Textonotaalfinal">
    <w:name w:val="endnote text"/>
    <w:basedOn w:val="Normal"/>
    <w:link w:val="TextonotaalfinalCar"/>
    <w:uiPriority w:val="99"/>
    <w:unhideWhenUsed/>
    <w:rsid w:val="00306291"/>
  </w:style>
  <w:style w:type="character" w:customStyle="1" w:styleId="TextonotaalfinalCar">
    <w:name w:val="Texto nota al final Car"/>
    <w:basedOn w:val="Fuentedeprrafopredeter"/>
    <w:link w:val="Textonotaalfinal"/>
    <w:uiPriority w:val="99"/>
    <w:rsid w:val="00306291"/>
  </w:style>
  <w:style w:type="character" w:styleId="Refdenotaalfinal">
    <w:name w:val="endnote reference"/>
    <w:basedOn w:val="Fuentedeprrafopredeter"/>
    <w:uiPriority w:val="99"/>
    <w:unhideWhenUsed/>
    <w:rsid w:val="00306291"/>
    <w:rPr>
      <w:vertAlign w:val="superscript"/>
    </w:rPr>
  </w:style>
  <w:style w:type="table" w:styleId="Tablaconcuadrcula">
    <w:name w:val="Table Grid"/>
    <w:basedOn w:val="Tablanormal"/>
    <w:uiPriority w:val="59"/>
    <w:rsid w:val="00434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rsid w:val="008D6A09"/>
  </w:style>
  <w:style w:type="paragraph" w:styleId="Encabezado">
    <w:name w:val="header"/>
    <w:basedOn w:val="Normal"/>
    <w:link w:val="EncabezadoCar"/>
    <w:uiPriority w:val="99"/>
    <w:unhideWhenUsed/>
    <w:rsid w:val="008D6A09"/>
    <w:pPr>
      <w:tabs>
        <w:tab w:val="center" w:pos="4252"/>
        <w:tab w:val="right" w:pos="8504"/>
      </w:tabs>
    </w:pPr>
  </w:style>
  <w:style w:type="paragraph" w:styleId="NormalWeb">
    <w:name w:val="Normal (Web)"/>
    <w:basedOn w:val="Normal"/>
    <w:uiPriority w:val="99"/>
    <w:semiHidden/>
    <w:unhideWhenUsed/>
    <w:rsid w:val="00C854D9"/>
    <w:pPr>
      <w:spacing w:before="100" w:beforeAutospacing="1" w:after="100" w:afterAutospacing="1"/>
    </w:pPr>
    <w:rPr>
      <w:rFonts w:ascii="Times" w:hAnsi="Times" w:cs="Times New Roman"/>
      <w:sz w:val="20"/>
      <w:szCs w:val="20"/>
      <w:lang w:val="es-ES"/>
    </w:rPr>
  </w:style>
  <w:style w:type="paragraph" w:styleId="Puesto">
    <w:name w:val="Title"/>
    <w:basedOn w:val="Normal"/>
    <w:next w:val="Normal"/>
    <w:link w:val="PuestoCar"/>
    <w:uiPriority w:val="10"/>
    <w:qFormat/>
    <w:rsid w:val="000E4576"/>
    <w:pPr>
      <w:pBdr>
        <w:bottom w:val="single" w:sz="8" w:space="4" w:color="4F81BD" w:themeColor="accent1"/>
      </w:pBdr>
      <w:spacing w:after="6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0E4576"/>
    <w:rPr>
      <w:rFonts w:asciiTheme="majorHAnsi" w:eastAsiaTheme="majorEastAsia" w:hAnsiTheme="majorHAnsi" w:cstheme="majorBidi"/>
      <w:color w:val="17365D" w:themeColor="text2" w:themeShade="BF"/>
      <w:spacing w:val="5"/>
      <w:kern w:val="28"/>
      <w:sz w:val="52"/>
      <w:szCs w:val="52"/>
    </w:rPr>
  </w:style>
  <w:style w:type="character" w:customStyle="1" w:styleId="Ttulo2Car">
    <w:name w:val="Título 2 Car"/>
    <w:aliases w:val="Epígrafe EB Car"/>
    <w:basedOn w:val="Fuentedeprrafopredeter"/>
    <w:link w:val="Ttulo2"/>
    <w:uiPriority w:val="9"/>
    <w:rsid w:val="00E05E95"/>
    <w:rPr>
      <w:rFonts w:ascii="Georgia" w:eastAsiaTheme="majorEastAsia" w:hAnsi="Georgia" w:cstheme="majorBidi"/>
      <w:b/>
      <w:bCs/>
      <w:color w:val="365F91" w:themeColor="accent1" w:themeShade="BF"/>
      <w:sz w:val="26"/>
      <w:szCs w:val="26"/>
    </w:rPr>
  </w:style>
  <w:style w:type="character" w:customStyle="1" w:styleId="Ttulo1Car">
    <w:name w:val="Título 1 Car"/>
    <w:aliases w:val="Tít Capitulo EB Car"/>
    <w:basedOn w:val="Fuentedeprrafopredeter"/>
    <w:link w:val="Ttulo1"/>
    <w:uiPriority w:val="9"/>
    <w:rsid w:val="000E4576"/>
    <w:rPr>
      <w:rFonts w:ascii="Georgia" w:eastAsiaTheme="majorEastAsia" w:hAnsi="Georgia" w:cstheme="majorBidi"/>
      <w:bCs/>
      <w:color w:val="365F91" w:themeColor="accent1" w:themeShade="BF"/>
      <w:sz w:val="44"/>
      <w:szCs w:val="32"/>
    </w:rPr>
  </w:style>
  <w:style w:type="character" w:customStyle="1" w:styleId="Ttulo3Car">
    <w:name w:val="Título 3 Car"/>
    <w:aliases w:val="Subepígrafe EB Car"/>
    <w:basedOn w:val="Fuentedeprrafopredeter"/>
    <w:link w:val="Ttulo3"/>
    <w:uiPriority w:val="9"/>
    <w:rsid w:val="00FC6FF3"/>
    <w:rPr>
      <w:rFonts w:ascii="Georgia" w:eastAsiaTheme="majorEastAsia" w:hAnsi="Georgia" w:cstheme="majorBidi"/>
      <w:bCs/>
      <w:i/>
      <w:color w:val="4F81BD" w:themeColor="accent1"/>
      <w:szCs w:val="21"/>
    </w:rPr>
  </w:style>
  <w:style w:type="paragraph" w:styleId="Citadestacada">
    <w:name w:val="Intense Quote"/>
    <w:basedOn w:val="Normal"/>
    <w:next w:val="Normal"/>
    <w:link w:val="CitadestacadaCar"/>
    <w:uiPriority w:val="30"/>
    <w:qFormat/>
    <w:rsid w:val="00DC0C9C"/>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DC0C9C"/>
    <w:rPr>
      <w:rFonts w:ascii="Georgia" w:hAnsi="Georgia"/>
      <w:b/>
      <w:bCs/>
      <w:i/>
      <w:iCs/>
      <w:color w:val="4F81BD" w:themeColor="accent1"/>
      <w:sz w:val="21"/>
      <w:szCs w:val="21"/>
    </w:rPr>
  </w:style>
  <w:style w:type="paragraph" w:styleId="Cita">
    <w:name w:val="Quote"/>
    <w:basedOn w:val="Normal"/>
    <w:next w:val="Normal"/>
    <w:link w:val="CitaCar"/>
    <w:uiPriority w:val="29"/>
    <w:qFormat/>
    <w:rsid w:val="00DC0C9C"/>
    <w:rPr>
      <w:i/>
      <w:iCs/>
      <w:color w:val="000000" w:themeColor="text1"/>
    </w:rPr>
  </w:style>
  <w:style w:type="character" w:customStyle="1" w:styleId="CitaCar">
    <w:name w:val="Cita Car"/>
    <w:basedOn w:val="Fuentedeprrafopredeter"/>
    <w:link w:val="Cita"/>
    <w:uiPriority w:val="29"/>
    <w:rsid w:val="00DC0C9C"/>
    <w:rPr>
      <w:rFonts w:ascii="Georgia" w:hAnsi="Georgia"/>
      <w:i/>
      <w:iCs/>
      <w:color w:val="000000" w:themeColor="text1"/>
      <w:sz w:val="21"/>
      <w:szCs w:val="21"/>
    </w:rPr>
  </w:style>
  <w:style w:type="character" w:customStyle="1" w:styleId="Ttulo4Car">
    <w:name w:val="Título 4 Car"/>
    <w:aliases w:val="TÍTULO EB Car"/>
    <w:basedOn w:val="Fuentedeprrafopredeter"/>
    <w:link w:val="Ttulo4"/>
    <w:uiPriority w:val="9"/>
    <w:rsid w:val="00BD4364"/>
    <w:rPr>
      <w:rFonts w:ascii="Georgia" w:eastAsiaTheme="majorEastAsia" w:hAnsi="Georgia" w:cstheme="majorBidi"/>
      <w:b/>
      <w:bCs/>
      <w:i/>
      <w:iCs/>
      <w:color w:val="1F497D" w:themeColor="text2"/>
      <w:sz w:val="48"/>
      <w:szCs w:val="21"/>
    </w:rPr>
  </w:style>
  <w:style w:type="paragraph" w:styleId="Subttulo">
    <w:name w:val="Subtitle"/>
    <w:aliases w:val="Subtítulo EB"/>
    <w:basedOn w:val="Normal"/>
    <w:next w:val="Normal"/>
    <w:link w:val="SubttuloCar"/>
    <w:uiPriority w:val="11"/>
    <w:qFormat/>
    <w:rsid w:val="00BD4364"/>
    <w:pPr>
      <w:numPr>
        <w:ilvl w:val="1"/>
      </w:numPr>
    </w:pPr>
    <w:rPr>
      <w:rFonts w:eastAsiaTheme="majorEastAsia" w:cstheme="majorBidi"/>
      <w:b/>
      <w:iCs/>
      <w:color w:val="1F497D" w:themeColor="text2"/>
      <w:spacing w:val="15"/>
      <w:sz w:val="22"/>
      <w:szCs w:val="24"/>
    </w:rPr>
  </w:style>
  <w:style w:type="character" w:customStyle="1" w:styleId="SubttuloCar">
    <w:name w:val="Subtítulo Car"/>
    <w:aliases w:val="Subtítulo EB Car"/>
    <w:basedOn w:val="Fuentedeprrafopredeter"/>
    <w:link w:val="Subttulo"/>
    <w:uiPriority w:val="11"/>
    <w:rsid w:val="00BD4364"/>
    <w:rPr>
      <w:rFonts w:ascii="Georgia" w:eastAsiaTheme="majorEastAsia" w:hAnsi="Georgia" w:cstheme="majorBidi"/>
      <w:b/>
      <w:iCs/>
      <w:color w:val="1F497D" w:themeColor="text2"/>
      <w:spacing w:val="15"/>
      <w:sz w:val="22"/>
    </w:rPr>
  </w:style>
  <w:style w:type="paragraph" w:styleId="TtulodeTDC">
    <w:name w:val="TOC Heading"/>
    <w:basedOn w:val="Ttulo1"/>
    <w:next w:val="Normal"/>
    <w:uiPriority w:val="39"/>
    <w:unhideWhenUsed/>
    <w:qFormat/>
    <w:rsid w:val="007E422D"/>
    <w:pPr>
      <w:spacing w:before="480" w:after="0" w:line="276" w:lineRule="auto"/>
      <w:jc w:val="left"/>
      <w:outlineLvl w:val="9"/>
    </w:pPr>
    <w:rPr>
      <w:rFonts w:asciiTheme="majorHAnsi" w:hAnsiTheme="majorHAnsi"/>
      <w:b/>
      <w:sz w:val="28"/>
      <w:szCs w:val="28"/>
      <w:lang w:val="es-ES"/>
    </w:rPr>
  </w:style>
  <w:style w:type="table" w:styleId="Sombreadoclaro-nfasis1">
    <w:name w:val="Light Shading Accent 1"/>
    <w:basedOn w:val="Tablanormal"/>
    <w:uiPriority w:val="60"/>
    <w:rsid w:val="009A2814"/>
    <w:rPr>
      <w:color w:val="365F91" w:themeColor="accent1" w:themeShade="BF"/>
      <w:sz w:val="22"/>
      <w:szCs w:val="22"/>
      <w:lang w:val="es-E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header" Target="header6.xml"/><Relationship Id="rId21" Type="http://schemas.openxmlformats.org/officeDocument/2006/relationships/image" Target="media/image8.emf"/><Relationship Id="rId34" Type="http://schemas.openxmlformats.org/officeDocument/2006/relationships/image" Target="media/image20.emf"/><Relationship Id="rId42" Type="http://schemas.openxmlformats.org/officeDocument/2006/relationships/image" Target="media/image27.emf"/><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image" Target="media/image39.emf"/><Relationship Id="rId63" Type="http://schemas.openxmlformats.org/officeDocument/2006/relationships/image" Target="media/image46.emf"/><Relationship Id="rId68" Type="http://schemas.openxmlformats.org/officeDocument/2006/relationships/image" Target="media/image51.emf"/><Relationship Id="rId76" Type="http://schemas.openxmlformats.org/officeDocument/2006/relationships/hyperlink" Target="http://eige.europa.eu/content/document/gender-equality-index-report"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5.emf"/><Relationship Id="rId11" Type="http://schemas.openxmlformats.org/officeDocument/2006/relationships/footer" Target="footer2.xml"/><Relationship Id="rId24" Type="http://schemas.openxmlformats.org/officeDocument/2006/relationships/image" Target="media/image11.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image" Target="media/image37.emf"/><Relationship Id="rId58" Type="http://schemas.openxmlformats.org/officeDocument/2006/relationships/header" Target="header8.xml"/><Relationship Id="rId66" Type="http://schemas.openxmlformats.org/officeDocument/2006/relationships/image" Target="media/image49.emf"/><Relationship Id="rId74" Type="http://schemas.openxmlformats.org/officeDocument/2006/relationships/hyperlink" Target="http://www.cis.es/cis/opencm/ES/1_encuestas/estudios/ver.jsp?estudio=12104&amp;cuestionario=14278&amp;muestra=19819" TargetMode="External"/><Relationship Id="rId79" Type="http://schemas.openxmlformats.org/officeDocument/2006/relationships/hyperlink" Target="http://dx.doi.org/10.1787/9789264191655-en" TargetMode="External"/><Relationship Id="rId5" Type="http://schemas.openxmlformats.org/officeDocument/2006/relationships/webSettings" Target="webSettings.xml"/><Relationship Id="rId61" Type="http://schemas.openxmlformats.org/officeDocument/2006/relationships/image" Target="media/image44.emf"/><Relationship Id="rId82" Type="http://schemas.openxmlformats.org/officeDocument/2006/relationships/header" Target="header11.xml"/><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image" Target="media/image17.emf"/><Relationship Id="rId44" Type="http://schemas.openxmlformats.org/officeDocument/2006/relationships/image" Target="media/image29.emf"/><Relationship Id="rId52" Type="http://schemas.openxmlformats.org/officeDocument/2006/relationships/image" Target="media/image36.emf"/><Relationship Id="rId60" Type="http://schemas.openxmlformats.org/officeDocument/2006/relationships/image" Target="media/image43.emf"/><Relationship Id="rId65" Type="http://schemas.openxmlformats.org/officeDocument/2006/relationships/image" Target="media/image48.emf"/><Relationship Id="rId73" Type="http://schemas.openxmlformats.org/officeDocument/2006/relationships/hyperlink" Target="http://www.diw.de/soeppapers" TargetMode="External"/><Relationship Id="rId78" Type="http://schemas.openxmlformats.org/officeDocument/2006/relationships/hyperlink" Target="http://www.gprg.org/" TargetMode="External"/><Relationship Id="rId81" Type="http://schemas.openxmlformats.org/officeDocument/2006/relationships/hyperlink" Target="http://worlddatabaseofhappiness.eur.nl"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8.emf"/><Relationship Id="rId48" Type="http://schemas.openxmlformats.org/officeDocument/2006/relationships/image" Target="media/image32.emf"/><Relationship Id="rId56" Type="http://schemas.openxmlformats.org/officeDocument/2006/relationships/image" Target="media/image40.emf"/><Relationship Id="rId64" Type="http://schemas.openxmlformats.org/officeDocument/2006/relationships/image" Target="media/image47.emf"/><Relationship Id="rId69" Type="http://schemas.openxmlformats.org/officeDocument/2006/relationships/image" Target="media/image52.emf"/><Relationship Id="rId77" Type="http://schemas.openxmlformats.org/officeDocument/2006/relationships/hyperlink" Target="http://www.europeansocialsurvey.org/index.php?option=com_content&amp;view=article&amp;id=321&amp;Itemid=388" TargetMode="External"/><Relationship Id="rId8" Type="http://schemas.openxmlformats.org/officeDocument/2006/relationships/header" Target="header1.xml"/><Relationship Id="rId51" Type="http://schemas.openxmlformats.org/officeDocument/2006/relationships/image" Target="media/image35.emf"/><Relationship Id="rId72" Type="http://schemas.openxmlformats.org/officeDocument/2006/relationships/header" Target="header10.xml"/><Relationship Id="rId80" Type="http://schemas.openxmlformats.org/officeDocument/2006/relationships/hyperlink" Target="http://worlddatabaseofhappiness.eur.nl"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header" Target="header7.xml"/><Relationship Id="rId59" Type="http://schemas.openxmlformats.org/officeDocument/2006/relationships/image" Target="media/image42.emf"/><Relationship Id="rId67" Type="http://schemas.openxmlformats.org/officeDocument/2006/relationships/image" Target="media/image50.emf"/><Relationship Id="rId20" Type="http://schemas.openxmlformats.org/officeDocument/2006/relationships/image" Target="media/image7.emf"/><Relationship Id="rId41" Type="http://schemas.openxmlformats.org/officeDocument/2006/relationships/image" Target="media/image26.emf"/><Relationship Id="rId54" Type="http://schemas.openxmlformats.org/officeDocument/2006/relationships/image" Target="media/image38.emf"/><Relationship Id="rId62" Type="http://schemas.openxmlformats.org/officeDocument/2006/relationships/image" Target="media/image45.emf"/><Relationship Id="rId70" Type="http://schemas.openxmlformats.org/officeDocument/2006/relationships/image" Target="media/image53.emf"/><Relationship Id="rId75" Type="http://schemas.openxmlformats.org/officeDocument/2006/relationships/hyperlink" Target="http://www.delta.ens.fr"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0.emf"/><Relationship Id="rId28" Type="http://schemas.openxmlformats.org/officeDocument/2006/relationships/header" Target="header5.xml"/><Relationship Id="rId36" Type="http://schemas.openxmlformats.org/officeDocument/2006/relationships/image" Target="media/image22.emf"/><Relationship Id="rId49" Type="http://schemas.openxmlformats.org/officeDocument/2006/relationships/image" Target="media/image33.emf"/><Relationship Id="rId57" Type="http://schemas.openxmlformats.org/officeDocument/2006/relationships/image" Target="media/image4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B1678-8F44-4DB0-AC46-B2D559927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157</Pages>
  <Words>64332</Words>
  <Characters>353826</Characters>
  <Application>Microsoft Office Word</Application>
  <DocSecurity>8</DocSecurity>
  <Lines>2948</Lines>
  <Paragraphs>834</Paragraphs>
  <ScaleCrop>false</ScaleCrop>
  <HeadingPairs>
    <vt:vector size="4" baseType="variant">
      <vt:variant>
        <vt:lpstr>Título</vt:lpstr>
      </vt:variant>
      <vt:variant>
        <vt:i4>1</vt:i4>
      </vt:variant>
      <vt:variant>
        <vt:lpstr>Headings</vt:lpstr>
      </vt:variant>
      <vt:variant>
        <vt:i4>25</vt:i4>
      </vt:variant>
    </vt:vector>
  </HeadingPairs>
  <TitlesOfParts>
    <vt:vector size="26" baseType="lpstr">
      <vt:lpstr/>
      <vt:lpstr>    </vt:lpstr>
      <vt:lpstr>    Índice</vt:lpstr>
      <vt:lpstr>Introducción</vt:lpstr>
      <vt:lpstr>        Perspectiva</vt:lpstr>
      <vt:lpstr>        Técnica</vt:lpstr>
      <vt:lpstr>        Contenido</vt:lpstr>
      <vt:lpstr>1  Sobre la felicidad</vt:lpstr>
      <vt:lpstr>    1.1  Yang-chu</vt:lpstr>
      <vt:lpstr>    1.2  Epicuro</vt:lpstr>
      <vt:lpstr>    1.3  Aristóteles</vt:lpstr>
      <vt:lpstr>    1.4  Demócrito</vt:lpstr>
      <vt:lpstr>    1.5  La felicidad como correspondencia entre posibilidad y realidad</vt:lpstr>
      <vt:lpstr>2  La medida del bienestar subjetivo</vt:lpstr>
      <vt:lpstr>    2.1  ¿Se puede medir la felicidad?</vt:lpstr>
      <vt:lpstr>    2.2  El concepto de bienestar socioemocional</vt:lpstr>
      <vt:lpstr>        La teoría socio-interaccional de las emociones</vt:lpstr>
      <vt:lpstr>        La teoría de las cadenas de rituales de interacción</vt:lpstr>
      <vt:lpstr>    2.3  La medida del bienestar socioemocional</vt:lpstr>
      <vt:lpstr>    2.4  Las dimensiones de la felicidad</vt:lpstr>
      <vt:lpstr>        f1) </vt:lpstr>
      <vt:lpstr>        f2) </vt:lpstr>
      <vt:lpstr>        f3) </vt:lpstr>
      <vt:lpstr>        f4) </vt:lpstr>
      <vt:lpstr>3 El bienestar emocional en la sociedad española</vt:lpstr>
      <vt:lpstr>    3.1  La estructura afectiva de los españoles</vt:lpstr>
    </vt:vector>
  </TitlesOfParts>
  <Manager/>
  <Company>Universidad de Sevilla</Company>
  <LinksUpToDate>false</LinksUpToDate>
  <CharactersWithSpaces>417324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Bericat Alastuey</dc:creator>
  <cp:keywords/>
  <dc:description/>
  <cp:lastModifiedBy>Full name</cp:lastModifiedBy>
  <cp:revision>2</cp:revision>
  <cp:lastPrinted>2015-12-17T19:16:00Z</cp:lastPrinted>
  <dcterms:created xsi:type="dcterms:W3CDTF">2023-04-19T12:54:00Z</dcterms:created>
  <dcterms:modified xsi:type="dcterms:W3CDTF">2023-04-19T12:54:00Z</dcterms:modified>
  <cp:category/>
</cp:coreProperties>
</file>